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spacing w:after="0" w:line="238" w:lineRule="auto"/>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spacing w:after="0" w:line="223" w:lineRule="auto"/>
        <w:rPr>
          <w:sz w:val="20"/>
          <w:szCs w:val="20"/>
          <w:color w:val="auto"/>
        </w:rPr>
      </w:pPr>
      <w:r>
        <w:rPr>
          <w:rFonts w:ascii="Times New Roman" w:cs="Times New Roman" w:eastAsia="Times New Roman" w:hAnsi="Times New Roman"/>
          <w:sz w:val="12"/>
          <w:szCs w:val="12"/>
          <w:b w:val="1"/>
          <w:bCs w:val="1"/>
          <w:color w:val="auto"/>
        </w:rPr>
        <w:t>Washington, D.C. 20549</w:t>
      </w:r>
    </w:p>
    <w:p>
      <w:pPr>
        <w:ind w:left="4660"/>
        <w:spacing w:after="0"/>
        <w:rPr>
          <w:sz w:val="20"/>
          <w:szCs w:val="20"/>
          <w:color w:val="auto"/>
        </w:rPr>
      </w:pPr>
      <w:r>
        <w:rPr>
          <w:rFonts w:ascii="Times New Roman" w:cs="Times New Roman" w:eastAsia="Times New Roman" w:hAnsi="Times New Roman"/>
          <w:sz w:val="7"/>
          <w:szCs w:val="7"/>
          <w:color w:val="auto"/>
        </w:rPr>
        <w:t>_____________________________________________________</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(Mark One)</w:t>
      </w:r>
    </w:p>
    <w:p>
      <w:pPr>
        <w:spacing w:after="0" w:line="6" w:lineRule="exact"/>
        <w:rPr>
          <w:sz w:val="24"/>
          <w:szCs w:val="24"/>
          <w:color w:val="auto"/>
        </w:rPr>
      </w:pPr>
    </w:p>
    <w:p>
      <w:pPr>
        <w:ind w:left="660" w:hanging="656"/>
        <w:spacing w:after="0"/>
        <w:tabs>
          <w:tab w:leader="none" w:pos="66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QUARTERLY REPORT PURSUANT TO SECTION 13 OR 15(D) 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quarterly period ended: September 30, 2025</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22" w:lineRule="exact"/>
        <w:rPr>
          <w:sz w:val="24"/>
          <w:szCs w:val="24"/>
          <w:color w:val="auto"/>
        </w:rPr>
      </w:pPr>
    </w:p>
    <w:p>
      <w:pPr>
        <w:ind w:left="4060" w:right="4080" w:hanging="4056"/>
        <w:spacing w:after="0" w:line="429" w:lineRule="auto"/>
        <w:tabs>
          <w:tab w:leader="none" w:pos="665" w:val="left"/>
        </w:tabs>
        <w:numPr>
          <w:ilvl w:val="0"/>
          <w:numId w:val="2"/>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TRANSITION REPORT PURSUANT TO SECTION 13 OR 15(D) OF THE SECURITIES EXCHANGE ACT OF 1934 For the transition period from ___________ to ___________</w:t>
      </w:r>
    </w:p>
    <w:p>
      <w:pPr>
        <w:ind w:left="4840"/>
        <w:spacing w:after="0"/>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color w:val="auto"/>
        </w:rPr>
        <w:t>Commission file number 1-8625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9525</wp:posOffset>
            </wp:positionV>
            <wp:extent cx="1402080" cy="532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2080" cy="5321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840" w:type="dxa"/>
            <w:vAlign w:val="bottom"/>
          </w:tcPr>
          <w:p>
            <w:pPr>
              <w:spacing w:after="0"/>
              <w:rPr>
                <w:sz w:val="17"/>
                <w:szCs w:val="17"/>
                <w:color w:val="auto"/>
              </w:rPr>
            </w:pPr>
          </w:p>
        </w:tc>
        <w:tc>
          <w:tcPr>
            <w:tcW w:w="372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READING INTERNATIONAL, INC.</w:t>
            </w:r>
          </w:p>
        </w:tc>
        <w:tc>
          <w:tcPr>
            <w:tcW w:w="3740" w:type="dxa"/>
            <w:vAlign w:val="bottom"/>
          </w:tcPr>
          <w:p>
            <w:pPr>
              <w:spacing w:after="0"/>
              <w:rPr>
                <w:sz w:val="17"/>
                <w:szCs w:val="17"/>
                <w:color w:val="auto"/>
              </w:rPr>
            </w:pPr>
          </w:p>
        </w:tc>
      </w:tr>
      <w:tr>
        <w:trPr>
          <w:trHeight w:val="161"/>
        </w:trPr>
        <w:tc>
          <w:tcPr>
            <w:tcW w:w="3840" w:type="dxa"/>
            <w:vAlign w:val="bottom"/>
          </w:tcPr>
          <w:p>
            <w:pPr>
              <w:spacing w:after="0"/>
              <w:rPr>
                <w:sz w:val="13"/>
                <w:szCs w:val="13"/>
                <w:color w:val="auto"/>
              </w:rPr>
            </w:pPr>
          </w:p>
        </w:tc>
        <w:tc>
          <w:tcPr>
            <w:tcW w:w="372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3740" w:type="dxa"/>
            <w:vAlign w:val="bottom"/>
          </w:tcPr>
          <w:p>
            <w:pPr>
              <w:spacing w:after="0"/>
              <w:rPr>
                <w:sz w:val="13"/>
                <w:szCs w:val="13"/>
                <w:color w:val="auto"/>
              </w:rPr>
            </w:pPr>
          </w:p>
        </w:tc>
      </w:tr>
      <w:tr>
        <w:trPr>
          <w:trHeight w:val="238"/>
        </w:trPr>
        <w:tc>
          <w:tcPr>
            <w:tcW w:w="3840" w:type="dxa"/>
            <w:vAlign w:val="bottom"/>
          </w:tcPr>
          <w:p>
            <w:pPr>
              <w:jc w:val="center"/>
              <w:ind w:left="1742"/>
              <w:spacing w:after="0"/>
              <w:rPr>
                <w:sz w:val="20"/>
                <w:szCs w:val="20"/>
                <w:color w:val="auto"/>
              </w:rPr>
            </w:pPr>
            <w:r>
              <w:rPr>
                <w:rFonts w:ascii="Times New Roman" w:cs="Times New Roman" w:eastAsia="Times New Roman" w:hAnsi="Times New Roman"/>
                <w:sz w:val="12"/>
                <w:szCs w:val="12"/>
                <w:b w:val="1"/>
                <w:bCs w:val="1"/>
                <w:color w:val="auto"/>
              </w:rPr>
              <w:t>Nevada</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Pr>
          <w:p>
            <w:pPr>
              <w:jc w:val="right"/>
              <w:ind w:right="2463"/>
              <w:spacing w:after="0"/>
              <w:rPr>
                <w:sz w:val="20"/>
                <w:szCs w:val="20"/>
                <w:color w:val="auto"/>
              </w:rPr>
            </w:pPr>
            <w:r>
              <w:rPr>
                <w:rFonts w:ascii="Times New Roman" w:cs="Times New Roman" w:eastAsia="Times New Roman" w:hAnsi="Times New Roman"/>
                <w:sz w:val="12"/>
                <w:szCs w:val="12"/>
                <w:b w:val="1"/>
                <w:bCs w:val="1"/>
                <w:color w:val="auto"/>
              </w:rPr>
              <w:t>95-3885184</w:t>
            </w:r>
          </w:p>
        </w:tc>
      </w:tr>
      <w:tr>
        <w:trPr>
          <w:trHeight w:val="98"/>
        </w:trPr>
        <w:tc>
          <w:tcPr>
            <w:tcW w:w="7560" w:type="dxa"/>
            <w:vAlign w:val="bottom"/>
            <w:gridSpan w:val="5"/>
          </w:tcPr>
          <w:p>
            <w:pPr>
              <w:jc w:val="center"/>
              <w:ind w:right="1900"/>
              <w:spacing w:after="0" w:line="99" w:lineRule="exact"/>
              <w:rPr>
                <w:sz w:val="20"/>
                <w:szCs w:val="20"/>
                <w:color w:val="auto"/>
              </w:rPr>
            </w:pPr>
            <w:r>
              <w:rPr>
                <w:rFonts w:ascii="Times New Roman" w:cs="Times New Roman" w:eastAsia="Times New Roman" w:hAnsi="Times New Roman"/>
                <w:sz w:val="10"/>
                <w:szCs w:val="10"/>
                <w:color w:val="auto"/>
                <w:w w:val="99"/>
              </w:rPr>
              <w:t>State or other jurisdiction of incorporation or organization)</w:t>
            </w:r>
          </w:p>
        </w:tc>
        <w:tc>
          <w:tcPr>
            <w:tcW w:w="3740" w:type="dxa"/>
            <w:vAlign w:val="bottom"/>
          </w:tcPr>
          <w:p>
            <w:pPr>
              <w:jc w:val="center"/>
              <w:ind w:right="1863"/>
              <w:spacing w:after="0" w:line="99" w:lineRule="exact"/>
              <w:rPr>
                <w:sz w:val="20"/>
                <w:szCs w:val="20"/>
                <w:color w:val="auto"/>
              </w:rPr>
            </w:pPr>
            <w:r>
              <w:rPr>
                <w:rFonts w:ascii="Times New Roman" w:cs="Times New Roman" w:eastAsia="Times New Roman" w:hAnsi="Times New Roman"/>
                <w:sz w:val="10"/>
                <w:szCs w:val="10"/>
                <w:color w:val="auto"/>
                <w:w w:val="98"/>
              </w:rPr>
              <w:t>(IRS Employer Identification Number)</w:t>
            </w:r>
          </w:p>
        </w:tc>
      </w:tr>
      <w:tr>
        <w:trPr>
          <w:trHeight w:val="134"/>
        </w:trPr>
        <w:tc>
          <w:tcPr>
            <w:tcW w:w="3840" w:type="dxa"/>
            <w:vAlign w:val="bottom"/>
          </w:tcPr>
          <w:p>
            <w:pPr>
              <w:jc w:val="center"/>
              <w:ind w:left="1742"/>
              <w:spacing w:after="0" w:line="134" w:lineRule="exact"/>
              <w:rPr>
                <w:sz w:val="20"/>
                <w:szCs w:val="20"/>
                <w:color w:val="auto"/>
              </w:rPr>
            </w:pPr>
            <w:r>
              <w:rPr>
                <w:rFonts w:ascii="Times New Roman" w:cs="Times New Roman" w:eastAsia="Times New Roman" w:hAnsi="Times New Roman"/>
                <w:sz w:val="12"/>
                <w:szCs w:val="12"/>
                <w:b w:val="1"/>
                <w:bCs w:val="1"/>
                <w:color w:val="auto"/>
              </w:rPr>
              <w:t>189 Second Avenue, Suite 2S</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40" w:type="dxa"/>
            <w:vAlign w:val="bottom"/>
          </w:tcPr>
          <w:p>
            <w:pPr>
              <w:spacing w:after="0"/>
              <w:rPr>
                <w:sz w:val="11"/>
                <w:szCs w:val="11"/>
                <w:color w:val="auto"/>
              </w:rPr>
            </w:pPr>
          </w:p>
        </w:tc>
      </w:tr>
      <w:tr>
        <w:trPr>
          <w:trHeight w:val="140"/>
        </w:trPr>
        <w:tc>
          <w:tcPr>
            <w:tcW w:w="3840" w:type="dxa"/>
            <w:vAlign w:val="bottom"/>
          </w:tcPr>
          <w:p>
            <w:pPr>
              <w:jc w:val="center"/>
              <w:ind w:left="1742"/>
              <w:spacing w:after="0"/>
              <w:rPr>
                <w:sz w:val="20"/>
                <w:szCs w:val="20"/>
                <w:color w:val="auto"/>
              </w:rPr>
            </w:pPr>
            <w:r>
              <w:rPr>
                <w:rFonts w:ascii="Times New Roman" w:cs="Times New Roman" w:eastAsia="Times New Roman" w:hAnsi="Times New Roman"/>
                <w:sz w:val="12"/>
                <w:szCs w:val="12"/>
                <w:b w:val="1"/>
                <w:bCs w:val="1"/>
                <w:color w:val="auto"/>
              </w:rPr>
              <w:t>New York, New York</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40" w:type="dxa"/>
            <w:vAlign w:val="bottom"/>
          </w:tcPr>
          <w:p>
            <w:pPr>
              <w:jc w:val="right"/>
              <w:ind w:right="2623"/>
              <w:spacing w:after="0"/>
              <w:rPr>
                <w:sz w:val="20"/>
                <w:szCs w:val="20"/>
                <w:color w:val="auto"/>
              </w:rPr>
            </w:pPr>
            <w:r>
              <w:rPr>
                <w:rFonts w:ascii="Times New Roman" w:cs="Times New Roman" w:eastAsia="Times New Roman" w:hAnsi="Times New Roman"/>
                <w:sz w:val="12"/>
                <w:szCs w:val="12"/>
                <w:b w:val="1"/>
                <w:bCs w:val="1"/>
                <w:color w:val="auto"/>
              </w:rPr>
              <w:t>10003</w:t>
            </w:r>
          </w:p>
        </w:tc>
      </w:tr>
      <w:tr>
        <w:trPr>
          <w:trHeight w:val="128"/>
        </w:trPr>
        <w:tc>
          <w:tcPr>
            <w:tcW w:w="3840" w:type="dxa"/>
            <w:vAlign w:val="bottom"/>
          </w:tcPr>
          <w:p>
            <w:pPr>
              <w:jc w:val="center"/>
              <w:ind w:left="1742"/>
              <w:spacing w:after="0"/>
              <w:rPr>
                <w:sz w:val="20"/>
                <w:szCs w:val="20"/>
                <w:color w:val="auto"/>
              </w:rPr>
            </w:pPr>
            <w:r>
              <w:rPr>
                <w:rFonts w:ascii="Times New Roman" w:cs="Times New Roman" w:eastAsia="Times New Roman" w:hAnsi="Times New Roman"/>
                <w:sz w:val="10"/>
                <w:szCs w:val="10"/>
                <w:color w:val="auto"/>
                <w:w w:val="98"/>
              </w:rPr>
              <w:t>(Address of principal executive offices)</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40" w:type="dxa"/>
            <w:vAlign w:val="bottom"/>
          </w:tcPr>
          <w:p>
            <w:pPr>
              <w:jc w:val="center"/>
              <w:ind w:right="1843"/>
              <w:spacing w:after="0"/>
              <w:rPr>
                <w:sz w:val="20"/>
                <w:szCs w:val="20"/>
                <w:color w:val="auto"/>
              </w:rPr>
            </w:pPr>
            <w:r>
              <w:rPr>
                <w:rFonts w:ascii="Times New Roman" w:cs="Times New Roman" w:eastAsia="Times New Roman" w:hAnsi="Times New Roman"/>
                <w:sz w:val="10"/>
                <w:szCs w:val="10"/>
                <w:color w:val="auto"/>
                <w:w w:val="99"/>
              </w:rPr>
              <w:t>(Zip Code)</w:t>
            </w:r>
          </w:p>
        </w:tc>
      </w:tr>
      <w:tr>
        <w:trPr>
          <w:trHeight w:val="267"/>
        </w:trPr>
        <w:tc>
          <w:tcPr>
            <w:tcW w:w="3840" w:type="dxa"/>
            <w:vAlign w:val="bottom"/>
          </w:tcPr>
          <w:p>
            <w:pPr>
              <w:spacing w:after="0"/>
              <w:rPr>
                <w:sz w:val="23"/>
                <w:szCs w:val="23"/>
                <w:color w:val="auto"/>
              </w:rPr>
            </w:pPr>
          </w:p>
        </w:tc>
        <w:tc>
          <w:tcPr>
            <w:tcW w:w="372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(213) 235-2240</w:t>
            </w:r>
          </w:p>
        </w:tc>
        <w:tc>
          <w:tcPr>
            <w:tcW w:w="3740" w:type="dxa"/>
            <w:vAlign w:val="bottom"/>
          </w:tcPr>
          <w:p>
            <w:pPr>
              <w:spacing w:after="0"/>
              <w:rPr>
                <w:sz w:val="23"/>
                <w:szCs w:val="23"/>
                <w:color w:val="auto"/>
              </w:rPr>
            </w:pPr>
          </w:p>
        </w:tc>
      </w:tr>
      <w:tr>
        <w:trPr>
          <w:trHeight w:val="279"/>
        </w:trPr>
        <w:tc>
          <w:tcPr>
            <w:tcW w:w="3840" w:type="dxa"/>
            <w:vAlign w:val="bottom"/>
          </w:tcPr>
          <w:p>
            <w:pPr>
              <w:spacing w:after="0"/>
              <w:rPr>
                <w:sz w:val="24"/>
                <w:szCs w:val="24"/>
                <w:color w:val="auto"/>
              </w:rPr>
            </w:pPr>
          </w:p>
        </w:tc>
        <w:tc>
          <w:tcPr>
            <w:tcW w:w="372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740" w:type="dxa"/>
            <w:vAlign w:val="bottom"/>
          </w:tcPr>
          <w:p>
            <w:pPr>
              <w:spacing w:after="0"/>
              <w:rPr>
                <w:sz w:val="24"/>
                <w:szCs w:val="24"/>
                <w:color w:val="auto"/>
              </w:rPr>
            </w:pPr>
          </w:p>
        </w:tc>
      </w:tr>
      <w:tr>
        <w:trPr>
          <w:trHeight w:val="141"/>
        </w:trPr>
        <w:tc>
          <w:tcPr>
            <w:tcW w:w="3840" w:type="dxa"/>
            <w:vAlign w:val="bottom"/>
          </w:tcPr>
          <w:p>
            <w:pPr>
              <w:jc w:val="center"/>
              <w:ind w:left="882"/>
              <w:spacing w:after="0"/>
              <w:rPr>
                <w:sz w:val="20"/>
                <w:szCs w:val="20"/>
                <w:color w:val="auto"/>
              </w:rPr>
            </w:pPr>
            <w:r>
              <w:rPr>
                <w:rFonts w:ascii="Times New Roman" w:cs="Times New Roman" w:eastAsia="Times New Roman" w:hAnsi="Times New Roman"/>
                <w:sz w:val="11"/>
                <w:szCs w:val="11"/>
                <w:color w:val="auto"/>
              </w:rPr>
              <w:t>Title of each class</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Trading Symbol</w:t>
            </w:r>
          </w:p>
        </w:tc>
        <w:tc>
          <w:tcPr>
            <w:tcW w:w="37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96"/>
        </w:trPr>
        <w:tc>
          <w:tcPr>
            <w:tcW w:w="3840" w:type="dxa"/>
            <w:vAlign w:val="bottom"/>
            <w:tcBorders>
              <w:top w:val="single" w:sz="8" w:color="auto"/>
            </w:tcBorders>
          </w:tcPr>
          <w:p>
            <w:pPr>
              <w:jc w:val="center"/>
              <w:ind w:left="882"/>
              <w:spacing w:after="0" w:line="96" w:lineRule="exact"/>
              <w:rPr>
                <w:sz w:val="20"/>
                <w:szCs w:val="20"/>
                <w:color w:val="auto"/>
              </w:rPr>
            </w:pPr>
            <w:r>
              <w:rPr>
                <w:rFonts w:ascii="Times New Roman" w:cs="Times New Roman" w:eastAsia="Times New Roman" w:hAnsi="Times New Roman"/>
                <w:sz w:val="11"/>
                <w:szCs w:val="11"/>
                <w:b w:val="1"/>
                <w:bCs w:val="1"/>
                <w:color w:val="auto"/>
              </w:rPr>
              <w:t>Class A Nonvoting Common Stock, $0.01 par value</w:t>
            </w:r>
          </w:p>
        </w:tc>
        <w:tc>
          <w:tcPr>
            <w:tcW w:w="9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540" w:type="dxa"/>
            <w:vAlign w:val="bottom"/>
            <w:tcBorders>
              <w:top w:val="single" w:sz="8" w:color="auto"/>
            </w:tcBorders>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rPr>
              <w:t>RDI</w:t>
            </w:r>
          </w:p>
        </w:tc>
        <w:tc>
          <w:tcPr>
            <w:tcW w:w="120" w:type="dxa"/>
            <w:vAlign w:val="bottom"/>
          </w:tcPr>
          <w:p>
            <w:pPr>
              <w:spacing w:after="0"/>
              <w:rPr>
                <w:sz w:val="8"/>
                <w:szCs w:val="8"/>
                <w:color w:val="auto"/>
              </w:rPr>
            </w:pPr>
          </w:p>
        </w:tc>
        <w:tc>
          <w:tcPr>
            <w:tcW w:w="3740" w:type="dxa"/>
            <w:vAlign w:val="bottom"/>
            <w:tcBorders>
              <w:top w:val="single" w:sz="8" w:color="auto"/>
            </w:tcBorders>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rPr>
              <w:t>The Nasdaq Stock Market LLC</w:t>
            </w:r>
          </w:p>
        </w:tc>
      </w:tr>
      <w:tr>
        <w:trPr>
          <w:trHeight w:val="163"/>
        </w:trPr>
        <w:tc>
          <w:tcPr>
            <w:tcW w:w="3840" w:type="dxa"/>
            <w:vAlign w:val="bottom"/>
          </w:tcPr>
          <w:p>
            <w:pPr>
              <w:jc w:val="center"/>
              <w:ind w:left="882"/>
              <w:spacing w:after="0"/>
              <w:rPr>
                <w:sz w:val="20"/>
                <w:szCs w:val="20"/>
                <w:color w:val="auto"/>
              </w:rPr>
            </w:pPr>
            <w:r>
              <w:rPr>
                <w:rFonts w:ascii="Times New Roman" w:cs="Times New Roman" w:eastAsia="Times New Roman" w:hAnsi="Times New Roman"/>
                <w:sz w:val="12"/>
                <w:szCs w:val="12"/>
                <w:b w:val="1"/>
                <w:bCs w:val="1"/>
                <w:color w:val="auto"/>
              </w:rPr>
              <w:t>Class B Voting Common Stock, $0.01 par value</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RDIB</w:t>
            </w:r>
          </w:p>
        </w:tc>
        <w:tc>
          <w:tcPr>
            <w:tcW w:w="3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r>
    </w:tbl>
    <w:p>
      <w:pPr>
        <w:spacing w:after="0" w:line="100" w:lineRule="exact"/>
        <w:rPr>
          <w:sz w:val="24"/>
          <w:szCs w:val="24"/>
          <w:color w:val="auto"/>
        </w:rPr>
      </w:pPr>
    </w:p>
    <w:p>
      <w:pPr>
        <w:ind w:right="420"/>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34" w:lineRule="exact"/>
        <w:rPr>
          <w:sz w:val="24"/>
          <w:szCs w:val="24"/>
          <w:color w:val="auto"/>
        </w:rPr>
      </w:pPr>
    </w:p>
    <w:p>
      <w:pPr>
        <w:ind w:right="40"/>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5" w:lineRule="exact"/>
        <w:rPr>
          <w:sz w:val="24"/>
          <w:szCs w:val="24"/>
          <w:color w:val="auto"/>
        </w:rPr>
      </w:pPr>
    </w:p>
    <w:p>
      <w:pPr>
        <w:ind w:right="200"/>
        <w:spacing w:after="0" w:line="275"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Accelerated Filer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Non-Accelerated Filer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Smaller Reporting Company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Emerging Growth Company </w:t>
      </w:r>
      <w:r>
        <w:rPr>
          <w:rFonts w:ascii="MS PGothic" w:cs="MS PGothic" w:eastAsia="MS PGothic" w:hAnsi="MS PGothic"/>
          <w:sz w:val="12"/>
          <w:szCs w:val="12"/>
          <w:color w:val="auto"/>
        </w:rPr>
        <w:t>☐</w:t>
      </w:r>
    </w:p>
    <w:p>
      <w:pPr>
        <w:spacing w:after="0" w:line="151" w:lineRule="exact"/>
        <w:rPr>
          <w:sz w:val="24"/>
          <w:szCs w:val="24"/>
          <w:color w:val="auto"/>
        </w:rPr>
      </w:pPr>
    </w:p>
    <w:p>
      <w:pPr>
        <w:ind w:right="140"/>
        <w:spacing w:after="0" w:line="160"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01"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2"/>
          <w:szCs w:val="12"/>
          <w:color w:val="auto"/>
        </w:rPr>
        <w:t>Indicate the number of shares outstanding of each of the issuer’s classes of common stock, as of the latest practicable date. As of November 13, 2025, there were 21,036,670 shares of Class A Nonvoting Common Stock, $0.01 par value per share, and 1,680,590 shares of Class B Voting Common Stock, $0.01 par value per share, outstanding.</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186"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20" w:type="dxa"/>
            <w:vAlign w:val="bottom"/>
            <w:gridSpan w:val="4"/>
          </w:tcPr>
          <w:p>
            <w:pPr>
              <w:jc w:val="center"/>
              <w:ind w:right="2780"/>
              <w:spacing w:after="0"/>
              <w:rPr>
                <w:sz w:val="20"/>
                <w:szCs w:val="20"/>
                <w:color w:val="auto"/>
              </w:rPr>
            </w:pPr>
            <w:r>
              <w:rPr>
                <w:rFonts w:ascii="Times New Roman" w:cs="Times New Roman" w:eastAsia="Times New Roman" w:hAnsi="Times New Roman"/>
                <w:sz w:val="12"/>
                <w:szCs w:val="12"/>
                <w:b w:val="1"/>
                <w:bCs w:val="1"/>
                <w:color w:val="auto"/>
              </w:rPr>
              <w:t>READING INTERNATIONAL, INC. AND SUBSIDIARIES</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20" w:type="dxa"/>
            <w:vAlign w:val="bottom"/>
            <w:gridSpan w:val="4"/>
          </w:tcPr>
          <w:p>
            <w:pPr>
              <w:jc w:val="center"/>
              <w:ind w:right="278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Page</w:t>
            </w:r>
          </w:p>
        </w:tc>
        <w:tc>
          <w:tcPr>
            <w:tcW w:w="0" w:type="dxa"/>
            <w:vAlign w:val="bottom"/>
          </w:tcPr>
          <w:p>
            <w:pPr>
              <w:spacing w:after="0"/>
              <w:rPr>
                <w:sz w:val="1"/>
                <w:szCs w:val="1"/>
                <w:color w:val="auto"/>
              </w:rPr>
            </w:pPr>
          </w:p>
        </w:tc>
      </w:tr>
      <w:tr>
        <w:trPr>
          <w:trHeight w:val="101"/>
        </w:trPr>
        <w:tc>
          <w:tcPr>
            <w:tcW w:w="1680" w:type="dxa"/>
            <w:vAlign w:val="bottom"/>
            <w:tcBorders>
              <w:top w:val="single" w:sz="8" w:color="CCEEFF"/>
              <w:bottom w:val="single" w:sz="8" w:color="0000FF"/>
            </w:tcBorders>
            <w:gridSpan w:val="9"/>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0000FF"/>
              </w:rPr>
              <w:t>PART I - Financial Information</w:t>
            </w:r>
          </w:p>
        </w:tc>
        <w:tc>
          <w:tcPr>
            <w:tcW w:w="8860" w:type="dxa"/>
            <w:vAlign w:val="bottom"/>
            <w:tcBorders>
              <w:top w:val="single" w:sz="8" w:color="CCEEFF"/>
              <w:bottom w:val="single" w:sz="8" w:color="CCEEFF"/>
            </w:tcBorders>
            <w:gridSpan w:val="11"/>
            <w:shd w:val="clear" w:color="auto" w:fill="CCEEFF"/>
          </w:tcPr>
          <w:p>
            <w:pPr>
              <w:spacing w:after="0"/>
              <w:rPr>
                <w:sz w:val="8"/>
                <w:szCs w:val="8"/>
                <w:color w:val="auto"/>
              </w:rPr>
            </w:pPr>
          </w:p>
        </w:tc>
        <w:tc>
          <w:tcPr>
            <w:tcW w:w="760" w:type="dxa"/>
            <w:vAlign w:val="bottom"/>
            <w:tcBorders>
              <w:top w:val="single" w:sz="8" w:color="auto"/>
              <w:bottom w:val="single" w:sz="8" w:color="CCEEFF"/>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80" w:type="dxa"/>
            <w:vAlign w:val="bottom"/>
          </w:tcPr>
          <w:p>
            <w:pPr>
              <w:spacing w:after="0"/>
              <w:rPr>
                <w:sz w:val="9"/>
                <w:szCs w:val="9"/>
                <w:color w:val="auto"/>
              </w:rPr>
            </w:pPr>
          </w:p>
        </w:tc>
        <w:tc>
          <w:tcPr>
            <w:tcW w:w="10460" w:type="dxa"/>
            <w:vAlign w:val="bottom"/>
            <w:gridSpan w:val="19"/>
          </w:tcPr>
          <w:p>
            <w:pPr>
              <w:spacing w:after="0" w:line="111" w:lineRule="exact"/>
              <w:rPr>
                <w:sz w:val="20"/>
                <w:szCs w:val="20"/>
                <w:color w:val="auto"/>
              </w:rPr>
            </w:pPr>
            <w:r>
              <w:rPr>
                <w:rFonts w:ascii="Times New Roman" w:cs="Times New Roman" w:eastAsia="Times New Roman" w:hAnsi="Times New Roman"/>
                <w:sz w:val="12"/>
                <w:szCs w:val="12"/>
                <w:color w:val="0000FF"/>
              </w:rPr>
              <w:t>Item 1 – Financial Statements</w:t>
            </w: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0" w:type="dxa"/>
            <w:vAlign w:val="bottom"/>
            <w:shd w:val="clear" w:color="auto" w:fill="CCEEFF"/>
          </w:tcPr>
          <w:p>
            <w:pPr>
              <w:spacing w:after="0"/>
              <w:rPr>
                <w:sz w:val="9"/>
                <w:szCs w:val="9"/>
                <w:color w:val="auto"/>
              </w:rPr>
            </w:pPr>
          </w:p>
        </w:tc>
        <w:tc>
          <w:tcPr>
            <w:tcW w:w="10460" w:type="dxa"/>
            <w:vAlign w:val="bottom"/>
            <w:gridSpan w:val="19"/>
            <w:shd w:val="clear" w:color="auto" w:fill="CCEEFF"/>
          </w:tcPr>
          <w:p>
            <w:pPr>
              <w:ind w:left="140"/>
              <w:spacing w:after="0" w:line="111" w:lineRule="exact"/>
              <w:rPr>
                <w:sz w:val="20"/>
                <w:szCs w:val="20"/>
                <w:color w:val="auto"/>
              </w:rPr>
            </w:pPr>
            <w:r>
              <w:rPr>
                <w:rFonts w:ascii="Times New Roman" w:cs="Times New Roman" w:eastAsia="Times New Roman" w:hAnsi="Times New Roman"/>
                <w:sz w:val="12"/>
                <w:szCs w:val="12"/>
                <w:color w:val="0000FF"/>
              </w:rPr>
              <w:t>Consolidated Balance Sheets (Unaudited)</w:t>
            </w:r>
          </w:p>
        </w:tc>
        <w:tc>
          <w:tcPr>
            <w:tcW w:w="7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3</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0" w:type="dxa"/>
            <w:vAlign w:val="bottom"/>
          </w:tcPr>
          <w:p>
            <w:pPr>
              <w:spacing w:after="0"/>
              <w:rPr>
                <w:sz w:val="9"/>
                <w:szCs w:val="9"/>
                <w:color w:val="auto"/>
              </w:rPr>
            </w:pPr>
          </w:p>
        </w:tc>
        <w:tc>
          <w:tcPr>
            <w:tcW w:w="10460" w:type="dxa"/>
            <w:vAlign w:val="bottom"/>
            <w:gridSpan w:val="19"/>
          </w:tcPr>
          <w:p>
            <w:pPr>
              <w:ind w:left="140"/>
              <w:spacing w:after="0" w:line="111" w:lineRule="exact"/>
              <w:rPr>
                <w:sz w:val="20"/>
                <w:szCs w:val="20"/>
                <w:color w:val="auto"/>
              </w:rPr>
            </w:pPr>
            <w:r>
              <w:rPr>
                <w:rFonts w:ascii="Times New Roman" w:cs="Times New Roman" w:eastAsia="Times New Roman" w:hAnsi="Times New Roman"/>
                <w:sz w:val="12"/>
                <w:szCs w:val="12"/>
                <w:color w:val="0000FF"/>
              </w:rPr>
              <w:t>Consolidated Statements of Income (Unaudited)</w:t>
            </w: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4</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0" w:type="dxa"/>
            <w:vAlign w:val="bottom"/>
            <w:shd w:val="clear" w:color="auto" w:fill="CCEEFF"/>
          </w:tcPr>
          <w:p>
            <w:pPr>
              <w:spacing w:after="0"/>
              <w:rPr>
                <w:sz w:val="9"/>
                <w:szCs w:val="9"/>
                <w:color w:val="auto"/>
              </w:rPr>
            </w:pPr>
          </w:p>
        </w:tc>
        <w:tc>
          <w:tcPr>
            <w:tcW w:w="10460" w:type="dxa"/>
            <w:vAlign w:val="bottom"/>
            <w:gridSpan w:val="19"/>
            <w:shd w:val="clear" w:color="auto" w:fill="CCEEFF"/>
          </w:tcPr>
          <w:p>
            <w:pPr>
              <w:ind w:left="140"/>
              <w:spacing w:after="0" w:line="111" w:lineRule="exact"/>
              <w:rPr>
                <w:sz w:val="20"/>
                <w:szCs w:val="20"/>
                <w:color w:val="auto"/>
              </w:rPr>
            </w:pPr>
            <w:r>
              <w:rPr>
                <w:rFonts w:ascii="Times New Roman" w:cs="Times New Roman" w:eastAsia="Times New Roman" w:hAnsi="Times New Roman"/>
                <w:sz w:val="12"/>
                <w:szCs w:val="12"/>
                <w:color w:val="0000FF"/>
              </w:rPr>
              <w:t>Consolidated Statements of Comprehensive Income (Unaudited)</w:t>
            </w:r>
          </w:p>
        </w:tc>
        <w:tc>
          <w:tcPr>
            <w:tcW w:w="7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5</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Borders>
              <w:right w:val="single" w:sz="8" w:color="CCEEFF"/>
            </w:tcBorders>
            <w:shd w:val="clear" w:color="auto" w:fill="0000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0" w:type="dxa"/>
            <w:vAlign w:val="bottom"/>
          </w:tcPr>
          <w:p>
            <w:pPr>
              <w:spacing w:after="0"/>
              <w:rPr>
                <w:sz w:val="9"/>
                <w:szCs w:val="9"/>
                <w:color w:val="auto"/>
              </w:rPr>
            </w:pPr>
          </w:p>
        </w:tc>
        <w:tc>
          <w:tcPr>
            <w:tcW w:w="10460" w:type="dxa"/>
            <w:vAlign w:val="bottom"/>
            <w:gridSpan w:val="19"/>
          </w:tcPr>
          <w:p>
            <w:pPr>
              <w:ind w:left="140"/>
              <w:spacing w:after="0" w:line="111" w:lineRule="exact"/>
              <w:rPr>
                <w:sz w:val="20"/>
                <w:szCs w:val="20"/>
                <w:color w:val="auto"/>
              </w:rPr>
            </w:pPr>
            <w:r>
              <w:rPr>
                <w:rFonts w:ascii="Times New Roman" w:cs="Times New Roman" w:eastAsia="Times New Roman" w:hAnsi="Times New Roman"/>
                <w:sz w:val="12"/>
                <w:szCs w:val="12"/>
                <w:color w:val="0000FF"/>
              </w:rPr>
              <w:t>Consolidated Statements of Cash Flows (Unaudited)</w:t>
            </w: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6</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0" w:type="dxa"/>
            <w:vAlign w:val="bottom"/>
            <w:shd w:val="clear" w:color="auto" w:fill="CCEEFF"/>
          </w:tcPr>
          <w:p>
            <w:pPr>
              <w:spacing w:after="0"/>
              <w:rPr>
                <w:sz w:val="9"/>
                <w:szCs w:val="9"/>
                <w:color w:val="auto"/>
              </w:rPr>
            </w:pPr>
          </w:p>
        </w:tc>
        <w:tc>
          <w:tcPr>
            <w:tcW w:w="10460" w:type="dxa"/>
            <w:vAlign w:val="bottom"/>
            <w:gridSpan w:val="19"/>
            <w:shd w:val="clear" w:color="auto" w:fill="CCEEFF"/>
          </w:tcPr>
          <w:p>
            <w:pPr>
              <w:ind w:left="140"/>
              <w:spacing w:after="0" w:line="111" w:lineRule="exact"/>
              <w:rPr>
                <w:sz w:val="20"/>
                <w:szCs w:val="20"/>
                <w:color w:val="auto"/>
              </w:rPr>
            </w:pPr>
            <w:r>
              <w:rPr>
                <w:rFonts w:ascii="Times New Roman" w:cs="Times New Roman" w:eastAsia="Times New Roman" w:hAnsi="Times New Roman"/>
                <w:sz w:val="12"/>
                <w:szCs w:val="12"/>
                <w:color w:val="0000FF"/>
              </w:rPr>
              <w:t>Notes to Consolidated Financial Statements (Unaudited)</w:t>
            </w:r>
          </w:p>
        </w:tc>
        <w:tc>
          <w:tcPr>
            <w:tcW w:w="7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7</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0" w:type="dxa"/>
            <w:vAlign w:val="bottom"/>
          </w:tcPr>
          <w:p>
            <w:pPr>
              <w:spacing w:after="0"/>
              <w:rPr>
                <w:sz w:val="9"/>
                <w:szCs w:val="9"/>
                <w:color w:val="auto"/>
              </w:rPr>
            </w:pPr>
          </w:p>
        </w:tc>
        <w:tc>
          <w:tcPr>
            <w:tcW w:w="4920" w:type="dxa"/>
            <w:vAlign w:val="bottom"/>
            <w:tcBorders>
              <w:bottom w:val="single" w:sz="8" w:color="0000FF"/>
            </w:tcBorders>
            <w:gridSpan w:val="17"/>
          </w:tcPr>
          <w:p>
            <w:pPr>
              <w:spacing w:after="0" w:line="111" w:lineRule="exact"/>
              <w:rPr>
                <w:sz w:val="20"/>
                <w:szCs w:val="20"/>
                <w:color w:val="auto"/>
              </w:rPr>
            </w:pPr>
            <w:r>
              <w:rPr>
                <w:rFonts w:ascii="Times New Roman" w:cs="Times New Roman" w:eastAsia="Times New Roman" w:hAnsi="Times New Roman"/>
                <w:sz w:val="12"/>
                <w:szCs w:val="12"/>
                <w:color w:val="0000FF"/>
              </w:rPr>
              <w:t>Item 2 – Management’s Discussion and Analysis of Financial Condition and Results of Operations</w:t>
            </w:r>
          </w:p>
        </w:tc>
        <w:tc>
          <w:tcPr>
            <w:tcW w:w="5540" w:type="dxa"/>
            <w:vAlign w:val="bottom"/>
            <w:gridSpan w:val="2"/>
          </w:tcPr>
          <w:p>
            <w:pPr>
              <w:spacing w:after="0"/>
              <w:rPr>
                <w:sz w:val="9"/>
                <w:szCs w:val="9"/>
                <w:color w:val="auto"/>
              </w:rPr>
            </w:pP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28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80" w:type="dxa"/>
            <w:vAlign w:val="bottom"/>
            <w:tcBorders>
              <w:bottom w:val="single" w:sz="8" w:color="CCEEFF"/>
            </w:tcBorders>
            <w:shd w:val="clear" w:color="auto" w:fill="CCEEFF"/>
          </w:tcPr>
          <w:p>
            <w:pPr>
              <w:spacing w:after="0"/>
              <w:rPr>
                <w:sz w:val="9"/>
                <w:szCs w:val="9"/>
                <w:color w:val="auto"/>
              </w:rPr>
            </w:pPr>
          </w:p>
        </w:tc>
        <w:tc>
          <w:tcPr>
            <w:tcW w:w="3440" w:type="dxa"/>
            <w:vAlign w:val="bottom"/>
            <w:tcBorders>
              <w:bottom w:val="single" w:sz="8" w:color="0000FF"/>
              <w:right w:val="single" w:sz="8" w:color="CCEEFF"/>
            </w:tcBorders>
            <w:gridSpan w:val="15"/>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0000FF"/>
              </w:rPr>
              <w:t>Item 3 – Quantitative and Qualitative Disclosure about Market Risk</w:t>
            </w:r>
          </w:p>
        </w:tc>
        <w:tc>
          <w:tcPr>
            <w:tcW w:w="7020" w:type="dxa"/>
            <w:vAlign w:val="bottom"/>
            <w:tcBorders>
              <w:bottom w:val="single" w:sz="8" w:color="CCEEFF"/>
            </w:tcBorders>
            <w:gridSpan w:val="4"/>
            <w:shd w:val="clear" w:color="auto" w:fill="CCEEFF"/>
          </w:tcPr>
          <w:p>
            <w:pPr>
              <w:spacing w:after="0"/>
              <w:rPr>
                <w:sz w:val="9"/>
                <w:szCs w:val="9"/>
                <w:color w:val="auto"/>
              </w:rPr>
            </w:pPr>
          </w:p>
        </w:tc>
        <w:tc>
          <w:tcPr>
            <w:tcW w:w="760" w:type="dxa"/>
            <w:vAlign w:val="bottom"/>
            <w:tcBorders>
              <w:bottom w:val="single" w:sz="8" w:color="CCEEFF"/>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49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80" w:type="dxa"/>
            <w:vAlign w:val="bottom"/>
          </w:tcPr>
          <w:p>
            <w:pPr>
              <w:spacing w:after="0"/>
              <w:rPr>
                <w:sz w:val="9"/>
                <w:szCs w:val="9"/>
                <w:color w:val="auto"/>
              </w:rPr>
            </w:pPr>
          </w:p>
        </w:tc>
        <w:tc>
          <w:tcPr>
            <w:tcW w:w="10460" w:type="dxa"/>
            <w:vAlign w:val="bottom"/>
            <w:gridSpan w:val="19"/>
          </w:tcPr>
          <w:p>
            <w:pPr>
              <w:spacing w:after="0" w:line="111" w:lineRule="exact"/>
              <w:rPr>
                <w:sz w:val="20"/>
                <w:szCs w:val="20"/>
                <w:color w:val="auto"/>
              </w:rPr>
            </w:pPr>
            <w:r>
              <w:rPr>
                <w:rFonts w:ascii="Times New Roman" w:cs="Times New Roman" w:eastAsia="Times New Roman" w:hAnsi="Times New Roman"/>
                <w:sz w:val="12"/>
                <w:szCs w:val="12"/>
                <w:color w:val="0000FF"/>
              </w:rPr>
              <w:t>Item 4 – Controls and Procedures</w:t>
            </w: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51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540" w:type="dxa"/>
            <w:vAlign w:val="bottom"/>
            <w:gridSpan w:val="20"/>
            <w:shd w:val="clear" w:color="auto" w:fill="CCEEFF"/>
          </w:tcPr>
          <w:p>
            <w:pPr>
              <w:spacing w:after="0" w:line="111" w:lineRule="exact"/>
              <w:rPr>
                <w:sz w:val="20"/>
                <w:szCs w:val="20"/>
                <w:color w:val="auto"/>
              </w:rPr>
            </w:pPr>
            <w:r>
              <w:rPr>
                <w:rFonts w:ascii="Times New Roman" w:cs="Times New Roman" w:eastAsia="Times New Roman" w:hAnsi="Times New Roman"/>
                <w:sz w:val="12"/>
                <w:szCs w:val="12"/>
                <w:b w:val="1"/>
                <w:bCs w:val="1"/>
                <w:color w:val="0000FF"/>
              </w:rPr>
              <w:t>PART II – Other Information</w:t>
            </w:r>
          </w:p>
        </w:tc>
        <w:tc>
          <w:tcPr>
            <w:tcW w:w="7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52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80" w:type="dxa"/>
            <w:vAlign w:val="bottom"/>
            <w:tcBorders>
              <w:top w:val="single" w:sz="8" w:color="0000FF"/>
            </w:tcBorders>
          </w:tcPr>
          <w:p>
            <w:pPr>
              <w:spacing w:after="0"/>
              <w:rPr>
                <w:sz w:val="9"/>
                <w:szCs w:val="9"/>
                <w:color w:val="auto"/>
              </w:rPr>
            </w:pPr>
          </w:p>
        </w:tc>
        <w:tc>
          <w:tcPr>
            <w:tcW w:w="1480" w:type="dxa"/>
            <w:vAlign w:val="bottom"/>
            <w:tcBorders>
              <w:top w:val="single" w:sz="8" w:color="0000FF"/>
            </w:tcBorders>
            <w:gridSpan w:val="7"/>
          </w:tcPr>
          <w:p>
            <w:pPr>
              <w:spacing w:after="0" w:line="111" w:lineRule="exact"/>
              <w:rPr>
                <w:sz w:val="20"/>
                <w:szCs w:val="20"/>
                <w:color w:val="auto"/>
              </w:rPr>
            </w:pPr>
            <w:r>
              <w:rPr>
                <w:rFonts w:ascii="Times New Roman" w:cs="Times New Roman" w:eastAsia="Times New Roman" w:hAnsi="Times New Roman"/>
                <w:sz w:val="12"/>
                <w:szCs w:val="12"/>
                <w:color w:val="0000FF"/>
              </w:rPr>
              <w:t>Item 1 – Legal Proceedings</w:t>
            </w:r>
          </w:p>
        </w:tc>
        <w:tc>
          <w:tcPr>
            <w:tcW w:w="8980" w:type="dxa"/>
            <w:vAlign w:val="bottom"/>
            <w:tcBorders>
              <w:top w:val="single" w:sz="8" w:color="CCEEFF"/>
            </w:tcBorders>
            <w:gridSpan w:val="12"/>
          </w:tcPr>
          <w:p>
            <w:pPr>
              <w:spacing w:after="0"/>
              <w:rPr>
                <w:sz w:val="9"/>
                <w:szCs w:val="9"/>
                <w:color w:val="auto"/>
              </w:rPr>
            </w:pPr>
          </w:p>
        </w:tc>
        <w:tc>
          <w:tcPr>
            <w:tcW w:w="760" w:type="dxa"/>
            <w:vAlign w:val="bottom"/>
            <w:tcBorders>
              <w:top w:val="single" w:sz="8" w:color="CCEEFF"/>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52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80" w:type="dxa"/>
            <w:vAlign w:val="bottom"/>
            <w:shd w:val="clear" w:color="auto" w:fill="CCEEFF"/>
          </w:tcPr>
          <w:p>
            <w:pPr>
              <w:spacing w:after="0"/>
              <w:rPr>
                <w:sz w:val="9"/>
                <w:szCs w:val="9"/>
                <w:color w:val="auto"/>
              </w:rPr>
            </w:pPr>
          </w:p>
        </w:tc>
        <w:tc>
          <w:tcPr>
            <w:tcW w:w="1360" w:type="dxa"/>
            <w:vAlign w:val="bottom"/>
            <w:tcBorders>
              <w:top w:val="single" w:sz="8" w:color="0000FF"/>
            </w:tcBorders>
            <w:gridSpan w:val="6"/>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0000FF"/>
              </w:rPr>
              <w:t>Item 1A – Risk Factors</w:t>
            </w:r>
          </w:p>
        </w:tc>
        <w:tc>
          <w:tcPr>
            <w:tcW w:w="9100" w:type="dxa"/>
            <w:vAlign w:val="bottom"/>
            <w:gridSpan w:val="13"/>
            <w:shd w:val="clear" w:color="auto" w:fill="CCEEFF"/>
          </w:tcPr>
          <w:p>
            <w:pPr>
              <w:spacing w:after="0"/>
              <w:rPr>
                <w:sz w:val="9"/>
                <w:szCs w:val="9"/>
                <w:color w:val="auto"/>
              </w:rPr>
            </w:pPr>
          </w:p>
        </w:tc>
        <w:tc>
          <w:tcPr>
            <w:tcW w:w="7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52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0" w:type="dxa"/>
            <w:vAlign w:val="bottom"/>
          </w:tcPr>
          <w:p>
            <w:pPr>
              <w:spacing w:after="0"/>
              <w:rPr>
                <w:sz w:val="9"/>
                <w:szCs w:val="9"/>
                <w:color w:val="auto"/>
              </w:rPr>
            </w:pPr>
          </w:p>
        </w:tc>
        <w:tc>
          <w:tcPr>
            <w:tcW w:w="10460" w:type="dxa"/>
            <w:vAlign w:val="bottom"/>
            <w:gridSpan w:val="19"/>
          </w:tcPr>
          <w:p>
            <w:pPr>
              <w:spacing w:after="0" w:line="111" w:lineRule="exact"/>
              <w:rPr>
                <w:sz w:val="20"/>
                <w:szCs w:val="20"/>
                <w:color w:val="auto"/>
              </w:rPr>
            </w:pPr>
            <w:r>
              <w:rPr>
                <w:rFonts w:ascii="Times New Roman" w:cs="Times New Roman" w:eastAsia="Times New Roman" w:hAnsi="Times New Roman"/>
                <w:sz w:val="12"/>
                <w:szCs w:val="12"/>
                <w:color w:val="0000FF"/>
              </w:rPr>
              <w:t>Item 2 – Unregistered Sales of Equity Securities and Use of Proceeds</w:t>
            </w: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52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80" w:type="dxa"/>
            <w:vAlign w:val="bottom"/>
            <w:tcBorders>
              <w:bottom w:val="single" w:sz="8" w:color="CCEEFF"/>
            </w:tcBorders>
            <w:shd w:val="clear" w:color="auto" w:fill="CCEEFF"/>
          </w:tcPr>
          <w:p>
            <w:pPr>
              <w:spacing w:after="0"/>
              <w:rPr>
                <w:sz w:val="9"/>
                <w:szCs w:val="9"/>
                <w:color w:val="auto"/>
              </w:rPr>
            </w:pPr>
          </w:p>
        </w:tc>
        <w:tc>
          <w:tcPr>
            <w:tcW w:w="2060" w:type="dxa"/>
            <w:vAlign w:val="bottom"/>
            <w:tcBorders>
              <w:top w:val="single" w:sz="8" w:color="0000FF"/>
              <w:bottom w:val="single" w:sz="8" w:color="0000FF"/>
            </w:tcBorders>
            <w:gridSpan w:val="10"/>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0000FF"/>
              </w:rPr>
              <w:t>Item 3 – Defaults Upon Senior Securities</w:t>
            </w:r>
          </w:p>
        </w:tc>
        <w:tc>
          <w:tcPr>
            <w:tcW w:w="1380" w:type="dxa"/>
            <w:vAlign w:val="bottom"/>
            <w:tcBorders>
              <w:top w:val="single" w:sz="8" w:color="0000FF"/>
              <w:bottom w:val="single" w:sz="8" w:color="CCEEFF"/>
              <w:right w:val="single" w:sz="8" w:color="CCEEFF"/>
            </w:tcBorders>
            <w:gridSpan w:val="5"/>
            <w:shd w:val="clear" w:color="auto" w:fill="CCEEFF"/>
          </w:tcPr>
          <w:p>
            <w:pPr>
              <w:spacing w:after="0"/>
              <w:rPr>
                <w:sz w:val="9"/>
                <w:szCs w:val="9"/>
                <w:color w:val="auto"/>
              </w:rPr>
            </w:pPr>
          </w:p>
        </w:tc>
        <w:tc>
          <w:tcPr>
            <w:tcW w:w="7020" w:type="dxa"/>
            <w:vAlign w:val="bottom"/>
            <w:tcBorders>
              <w:bottom w:val="single" w:sz="8" w:color="CCEEFF"/>
            </w:tcBorders>
            <w:gridSpan w:val="4"/>
            <w:shd w:val="clear" w:color="auto" w:fill="CCEEFF"/>
          </w:tcPr>
          <w:p>
            <w:pPr>
              <w:spacing w:after="0"/>
              <w:rPr>
                <w:sz w:val="9"/>
                <w:szCs w:val="9"/>
                <w:color w:val="auto"/>
              </w:rPr>
            </w:pPr>
          </w:p>
        </w:tc>
        <w:tc>
          <w:tcPr>
            <w:tcW w:w="760" w:type="dxa"/>
            <w:vAlign w:val="bottom"/>
            <w:tcBorders>
              <w:bottom w:val="single" w:sz="8" w:color="CCEEFF"/>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52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80" w:type="dxa"/>
            <w:vAlign w:val="bottom"/>
          </w:tcPr>
          <w:p>
            <w:pPr>
              <w:spacing w:after="0"/>
              <w:rPr>
                <w:sz w:val="9"/>
                <w:szCs w:val="9"/>
                <w:color w:val="auto"/>
              </w:rPr>
            </w:pPr>
          </w:p>
        </w:tc>
        <w:tc>
          <w:tcPr>
            <w:tcW w:w="10460" w:type="dxa"/>
            <w:vAlign w:val="bottom"/>
            <w:gridSpan w:val="19"/>
          </w:tcPr>
          <w:p>
            <w:pPr>
              <w:spacing w:after="0" w:line="111" w:lineRule="exact"/>
              <w:rPr>
                <w:sz w:val="20"/>
                <w:szCs w:val="20"/>
                <w:color w:val="auto"/>
              </w:rPr>
            </w:pPr>
            <w:r>
              <w:rPr>
                <w:rFonts w:ascii="Times New Roman" w:cs="Times New Roman" w:eastAsia="Times New Roman" w:hAnsi="Times New Roman"/>
                <w:sz w:val="12"/>
                <w:szCs w:val="12"/>
                <w:color w:val="0000FF"/>
              </w:rPr>
              <w:t>Item 4 – Mine Safety Disclosure</w:t>
            </w: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52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80" w:type="dxa"/>
            <w:vAlign w:val="bottom"/>
            <w:tcBorders>
              <w:bottom w:val="single" w:sz="8" w:color="CCEEFF"/>
            </w:tcBorders>
            <w:shd w:val="clear" w:color="auto" w:fill="CCEEFF"/>
          </w:tcPr>
          <w:p>
            <w:pPr>
              <w:spacing w:after="0"/>
              <w:rPr>
                <w:sz w:val="9"/>
                <w:szCs w:val="9"/>
                <w:color w:val="auto"/>
              </w:rPr>
            </w:pPr>
          </w:p>
        </w:tc>
        <w:tc>
          <w:tcPr>
            <w:tcW w:w="1360" w:type="dxa"/>
            <w:vAlign w:val="bottom"/>
            <w:tcBorders>
              <w:top w:val="single" w:sz="8" w:color="0000FF"/>
              <w:bottom w:val="single" w:sz="8" w:color="0000FF"/>
            </w:tcBorders>
            <w:gridSpan w:val="6"/>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0000FF"/>
              </w:rPr>
              <w:t>Item 5 – Other Information</w:t>
            </w:r>
          </w:p>
        </w:tc>
        <w:tc>
          <w:tcPr>
            <w:tcW w:w="300" w:type="dxa"/>
            <w:vAlign w:val="bottom"/>
            <w:tcBorders>
              <w:top w:val="single" w:sz="8" w:color="0000FF"/>
              <w:bottom w:val="single" w:sz="8" w:color="CCEEFF"/>
              <w:right w:val="single" w:sz="8" w:color="CCEEFF"/>
            </w:tcBorders>
            <w:gridSpan w:val="3"/>
            <w:shd w:val="clear" w:color="auto" w:fill="CCEEFF"/>
          </w:tcPr>
          <w:p>
            <w:pPr>
              <w:spacing w:after="0"/>
              <w:rPr>
                <w:sz w:val="9"/>
                <w:szCs w:val="9"/>
                <w:color w:val="auto"/>
              </w:rPr>
            </w:pPr>
          </w:p>
        </w:tc>
        <w:tc>
          <w:tcPr>
            <w:tcW w:w="8800" w:type="dxa"/>
            <w:vAlign w:val="bottom"/>
            <w:tcBorders>
              <w:bottom w:val="single" w:sz="8" w:color="CCEEFF"/>
            </w:tcBorders>
            <w:gridSpan w:val="10"/>
            <w:shd w:val="clear" w:color="auto" w:fill="CCEEFF"/>
          </w:tcPr>
          <w:p>
            <w:pPr>
              <w:spacing w:after="0"/>
              <w:rPr>
                <w:sz w:val="9"/>
                <w:szCs w:val="9"/>
                <w:color w:val="auto"/>
              </w:rPr>
            </w:pPr>
          </w:p>
        </w:tc>
        <w:tc>
          <w:tcPr>
            <w:tcW w:w="760" w:type="dxa"/>
            <w:vAlign w:val="bottom"/>
            <w:tcBorders>
              <w:bottom w:val="single" w:sz="8" w:color="CCEEFF"/>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52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80" w:type="dxa"/>
            <w:vAlign w:val="bottom"/>
          </w:tcPr>
          <w:p>
            <w:pPr>
              <w:spacing w:after="0"/>
              <w:rPr>
                <w:sz w:val="9"/>
                <w:szCs w:val="9"/>
                <w:color w:val="auto"/>
              </w:rPr>
            </w:pPr>
          </w:p>
        </w:tc>
        <w:tc>
          <w:tcPr>
            <w:tcW w:w="10460" w:type="dxa"/>
            <w:vAlign w:val="bottom"/>
            <w:gridSpan w:val="19"/>
          </w:tcPr>
          <w:p>
            <w:pPr>
              <w:spacing w:after="0" w:line="111" w:lineRule="exact"/>
              <w:rPr>
                <w:sz w:val="20"/>
                <w:szCs w:val="20"/>
                <w:color w:val="auto"/>
              </w:rPr>
            </w:pPr>
            <w:r>
              <w:rPr>
                <w:rFonts w:ascii="Times New Roman" w:cs="Times New Roman" w:eastAsia="Times New Roman" w:hAnsi="Times New Roman"/>
                <w:sz w:val="12"/>
                <w:szCs w:val="12"/>
                <w:color w:val="0000FF"/>
              </w:rPr>
              <w:t>Item 6 – Exhibits</w:t>
            </w: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53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00" w:type="dxa"/>
            <w:vAlign w:val="bottom"/>
            <w:tcBorders>
              <w:bottom w:val="single" w:sz="8" w:color="0000FF"/>
            </w:tcBorders>
            <w:gridSpan w:val="4"/>
            <w:shd w:val="clear" w:color="auto" w:fill="CCEEFF"/>
          </w:tcPr>
          <w:p>
            <w:pPr>
              <w:spacing w:after="0" w:line="111" w:lineRule="exact"/>
              <w:rPr>
                <w:sz w:val="20"/>
                <w:szCs w:val="20"/>
                <w:color w:val="auto"/>
              </w:rPr>
            </w:pPr>
            <w:r>
              <w:rPr>
                <w:rFonts w:ascii="Times New Roman" w:cs="Times New Roman" w:eastAsia="Times New Roman" w:hAnsi="Times New Roman"/>
                <w:sz w:val="12"/>
                <w:szCs w:val="12"/>
                <w:b w:val="1"/>
                <w:bCs w:val="1"/>
                <w:color w:val="0000FF"/>
                <w:w w:val="99"/>
              </w:rPr>
              <w:t>SIGNATURES</w:t>
            </w:r>
          </w:p>
        </w:tc>
        <w:tc>
          <w:tcPr>
            <w:tcW w:w="9740" w:type="dxa"/>
            <w:vAlign w:val="bottom"/>
            <w:tcBorders>
              <w:bottom w:val="single" w:sz="8" w:color="CCEEFF"/>
            </w:tcBorders>
            <w:gridSpan w:val="16"/>
            <w:shd w:val="clear" w:color="auto" w:fill="CCEEFF"/>
          </w:tcPr>
          <w:p>
            <w:pPr>
              <w:spacing w:after="0"/>
              <w:rPr>
                <w:sz w:val="9"/>
                <w:szCs w:val="9"/>
                <w:color w:val="auto"/>
              </w:rPr>
            </w:pPr>
          </w:p>
        </w:tc>
        <w:tc>
          <w:tcPr>
            <w:tcW w:w="760" w:type="dxa"/>
            <w:vAlign w:val="bottom"/>
            <w:tcBorders>
              <w:bottom w:val="single" w:sz="8" w:color="CCEEFF"/>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color w:val="auto"/>
              </w:rPr>
              <w:t>54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720" w:type="dxa"/>
            <w:vAlign w:val="bottom"/>
            <w:tcBorders>
              <w:bottom w:val="single" w:sz="8" w:color="0000FF"/>
            </w:tcBorders>
            <w:gridSpan w:val="3"/>
          </w:tcPr>
          <w:p>
            <w:pPr>
              <w:spacing w:after="0" w:line="111" w:lineRule="exact"/>
              <w:rPr>
                <w:sz w:val="20"/>
                <w:szCs w:val="20"/>
                <w:color w:val="auto"/>
              </w:rPr>
            </w:pPr>
            <w:r>
              <w:rPr>
                <w:rFonts w:ascii="Times New Roman" w:cs="Times New Roman" w:eastAsia="Times New Roman" w:hAnsi="Times New Roman"/>
                <w:sz w:val="12"/>
                <w:szCs w:val="12"/>
                <w:b w:val="1"/>
                <w:bCs w:val="1"/>
                <w:color w:val="0000FF"/>
                <w:w w:val="99"/>
              </w:rPr>
              <w:t>Certifications</w:t>
            </w:r>
          </w:p>
        </w:tc>
        <w:tc>
          <w:tcPr>
            <w:tcW w:w="9820" w:type="dxa"/>
            <w:vAlign w:val="bottom"/>
            <w:gridSpan w:val="17"/>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8"/>
        </w:trPr>
        <w:tc>
          <w:tcPr>
            <w:tcW w:w="6300" w:type="dxa"/>
            <w:vAlign w:val="bottom"/>
            <w:gridSpan w:val="19"/>
          </w:tcPr>
          <w:p>
            <w:pPr>
              <w:jc w:val="center"/>
              <w:ind w:left="4939"/>
              <w:spacing w:after="0"/>
              <w:rPr>
                <w:sz w:val="20"/>
                <w:szCs w:val="20"/>
                <w:color w:val="auto"/>
              </w:rPr>
            </w:pPr>
            <w:r>
              <w:rPr>
                <w:rFonts w:ascii="Times New Roman" w:cs="Times New Roman" w:eastAsia="Times New Roman" w:hAnsi="Times New Roman"/>
                <w:sz w:val="12"/>
                <w:szCs w:val="12"/>
                <w:color w:val="auto"/>
                <w:w w:val="99"/>
              </w:rPr>
              <w:t>2</w:t>
            </w:r>
          </w:p>
        </w:tc>
        <w:tc>
          <w:tcPr>
            <w:tcW w:w="4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14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300" w:type="dxa"/>
            <w:vAlign w:val="bottom"/>
            <w:tcBorders>
              <w:bottom w:val="single" w:sz="8" w:color="9A9A9A"/>
            </w:tcBorders>
          </w:tcPr>
          <w:p>
            <w:pPr>
              <w:spacing w:after="0"/>
              <w:rPr>
                <w:sz w:val="19"/>
                <w:szCs w:val="19"/>
                <w:color w:val="auto"/>
              </w:rPr>
            </w:pPr>
          </w:p>
        </w:tc>
        <w:tc>
          <w:tcPr>
            <w:tcW w:w="424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7152640</wp:posOffset>
            </wp:positionH>
            <wp:positionV relativeFrom="paragraph">
              <wp:posOffset>-24130</wp:posOffset>
            </wp:positionV>
            <wp:extent cx="31115" cy="37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-24130</wp:posOffset>
            </wp:positionV>
            <wp:extent cx="31115" cy="37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PART 1 – FINANCIAL INFORMATION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1 - Financial Statements</w:t>
      </w:r>
    </w:p>
    <w:p>
      <w:pPr>
        <w:spacing w:after="0"/>
        <w:rPr>
          <w:sz w:val="20"/>
          <w:szCs w:val="20"/>
          <w:color w:val="auto"/>
        </w:rPr>
      </w:pPr>
      <w:r>
        <w:rPr>
          <w:rFonts w:ascii="Times New Roman" w:cs="Times New Roman" w:eastAsia="Times New Roman" w:hAnsi="Times New Roman"/>
          <w:sz w:val="12"/>
          <w:szCs w:val="12"/>
          <w:b w:val="1"/>
          <w:bCs w:val="1"/>
          <w:color w:val="auto"/>
        </w:rPr>
        <w:t>READING INTERNATIONAL, INC.</w:t>
      </w:r>
    </w:p>
    <w:p>
      <w:pPr>
        <w:spacing w:after="0" w:line="229" w:lineRule="auto"/>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rPr>
          <w:sz w:val="20"/>
          <w:szCs w:val="20"/>
          <w:color w:val="auto"/>
        </w:rPr>
      </w:pPr>
      <w:r>
        <w:rPr>
          <w:rFonts w:ascii="Times New Roman" w:cs="Times New Roman" w:eastAsia="Times New Roman" w:hAnsi="Times New Roman"/>
          <w:sz w:val="12"/>
          <w:szCs w:val="12"/>
          <w:i w:val="1"/>
          <w:iCs w:val="1"/>
          <w:color w:val="auto"/>
        </w:rPr>
        <w:t>(U.S. dollars in thousands, except share information)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180" w:type="dxa"/>
            <w:vAlign w:val="bottom"/>
          </w:tcPr>
          <w:p>
            <w:pPr>
              <w:spacing w:after="0"/>
              <w:rPr>
                <w:sz w:val="10"/>
                <w:szCs w:val="10"/>
                <w:color w:val="auto"/>
              </w:rPr>
            </w:pPr>
          </w:p>
        </w:tc>
        <w:tc>
          <w:tcPr>
            <w:tcW w:w="1220" w:type="dxa"/>
            <w:vAlign w:val="bottom"/>
          </w:tcPr>
          <w:p>
            <w:pPr>
              <w:jc w:val="right"/>
              <w:ind w:right="358"/>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8"/>
        </w:trPr>
        <w:tc>
          <w:tcPr>
            <w:tcW w:w="82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9"/>
        </w:trPr>
        <w:tc>
          <w:tcPr>
            <w:tcW w:w="820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ASSETS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6"/>
              </w:rPr>
              <w:t>(Unaudited)</w:t>
            </w: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0"/>
        </w:trPr>
        <w:tc>
          <w:tcPr>
            <w:tcW w:w="8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Current Assets:</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30"/>
        </w:trPr>
        <w:tc>
          <w:tcPr>
            <w:tcW w:w="82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Cash and cash equivalents</w:t>
            </w:r>
          </w:p>
        </w:tc>
        <w:tc>
          <w:tcPr>
            <w:tcW w:w="340" w:type="dxa"/>
            <w:vAlign w:val="bottom"/>
            <w:gridSpan w:val="2"/>
          </w:tcPr>
          <w:p>
            <w:pPr>
              <w:jc w:val="right"/>
              <w:ind w:right="38"/>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8,090</w:t>
            </w:r>
          </w:p>
        </w:tc>
        <w:tc>
          <w:tcPr>
            <w:tcW w:w="160" w:type="dxa"/>
            <w:vAlign w:val="bottom"/>
          </w:tcPr>
          <w:p>
            <w:pPr>
              <w:spacing w:after="0"/>
              <w:rPr>
                <w:sz w:val="11"/>
                <w:szCs w:val="11"/>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12,347</w:t>
            </w:r>
          </w:p>
        </w:tc>
      </w:tr>
      <w:tr>
        <w:trPr>
          <w:trHeight w:val="130"/>
        </w:trPr>
        <w:tc>
          <w:tcPr>
            <w:tcW w:w="8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Restricted cash</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2,458</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2,735</w:t>
            </w:r>
          </w:p>
        </w:tc>
      </w:tr>
      <w:tr>
        <w:trPr>
          <w:trHeight w:val="130"/>
        </w:trPr>
        <w:tc>
          <w:tcPr>
            <w:tcW w:w="82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Receivables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2,777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5,276</w:t>
            </w:r>
          </w:p>
        </w:tc>
      </w:tr>
      <w:tr>
        <w:trPr>
          <w:trHeight w:val="130"/>
        </w:trPr>
        <w:tc>
          <w:tcPr>
            <w:tcW w:w="8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Inventories</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1,655</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1,685</w:t>
            </w:r>
          </w:p>
        </w:tc>
      </w:tr>
      <w:tr>
        <w:trPr>
          <w:trHeight w:val="130"/>
        </w:trPr>
        <w:tc>
          <w:tcPr>
            <w:tcW w:w="82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Prepaid and other current assets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3,368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2,668</w:t>
            </w:r>
          </w:p>
        </w:tc>
      </w:tr>
      <w:tr>
        <w:trPr>
          <w:trHeight w:val="130"/>
        </w:trPr>
        <w:tc>
          <w:tcPr>
            <w:tcW w:w="8200" w:type="dxa"/>
            <w:vAlign w:val="bottom"/>
            <w:tcBorders>
              <w:bottom w:val="single" w:sz="8" w:color="auto"/>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Land and property held for sale</w:t>
            </w:r>
          </w:p>
        </w:tc>
        <w:tc>
          <w:tcPr>
            <w:tcW w:w="1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460</w:t>
            </w:r>
          </w:p>
        </w:tc>
        <w:tc>
          <w:tcPr>
            <w:tcW w:w="1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32,331</w:t>
            </w:r>
          </w:p>
        </w:tc>
      </w:tr>
      <w:tr>
        <w:trPr>
          <w:trHeight w:val="120"/>
        </w:trPr>
        <w:tc>
          <w:tcPr>
            <w:tcW w:w="8200" w:type="dxa"/>
            <w:vAlign w:val="bottom"/>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18,808</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57,042</w:t>
            </w:r>
          </w:p>
        </w:tc>
      </w:tr>
      <w:tr>
        <w:trPr>
          <w:trHeight w:val="130"/>
        </w:trPr>
        <w:tc>
          <w:tcPr>
            <w:tcW w:w="8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Operating property, net</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210,525</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214,694</w:t>
            </w:r>
          </w:p>
        </w:tc>
      </w:tr>
      <w:tr>
        <w:trPr>
          <w:trHeight w:val="130"/>
        </w:trPr>
        <w:tc>
          <w:tcPr>
            <w:tcW w:w="82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Operating lease right-of-use assets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161,400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160,873</w:t>
            </w:r>
          </w:p>
        </w:tc>
      </w:tr>
      <w:tr>
        <w:trPr>
          <w:trHeight w:val="130"/>
        </w:trPr>
        <w:tc>
          <w:tcPr>
            <w:tcW w:w="8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Investment in unconsolidated joint ventures</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3,447</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3,138</w:t>
            </w:r>
          </w:p>
        </w:tc>
      </w:tr>
      <w:tr>
        <w:trPr>
          <w:trHeight w:val="130"/>
        </w:trPr>
        <w:tc>
          <w:tcPr>
            <w:tcW w:w="82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Goodwill</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24,576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23,712</w:t>
            </w:r>
          </w:p>
        </w:tc>
      </w:tr>
      <w:tr>
        <w:trPr>
          <w:trHeight w:val="130"/>
        </w:trPr>
        <w:tc>
          <w:tcPr>
            <w:tcW w:w="8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Intangible assets, net</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1,710</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1,800</w:t>
            </w:r>
          </w:p>
        </w:tc>
      </w:tr>
      <w:tr>
        <w:trPr>
          <w:trHeight w:val="130"/>
        </w:trPr>
        <w:tc>
          <w:tcPr>
            <w:tcW w:w="82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Deferred tax asset, net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1,591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953</w:t>
            </w:r>
          </w:p>
        </w:tc>
      </w:tr>
      <w:tr>
        <w:trPr>
          <w:trHeight w:val="130"/>
        </w:trPr>
        <w:tc>
          <w:tcPr>
            <w:tcW w:w="8200" w:type="dxa"/>
            <w:vAlign w:val="bottom"/>
            <w:tcBorders>
              <w:bottom w:val="single" w:sz="8" w:color="auto"/>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Other assets</w:t>
            </w:r>
          </w:p>
        </w:tc>
        <w:tc>
          <w:tcPr>
            <w:tcW w:w="1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13,129</w:t>
            </w:r>
          </w:p>
        </w:tc>
        <w:tc>
          <w:tcPr>
            <w:tcW w:w="1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8,799</w:t>
            </w:r>
          </w:p>
        </w:tc>
      </w:tr>
      <w:tr>
        <w:trPr>
          <w:trHeight w:val="120"/>
        </w:trPr>
        <w:tc>
          <w:tcPr>
            <w:tcW w:w="8200" w:type="dxa"/>
            <w:vAlign w:val="bottom"/>
            <w:tcBorders>
              <w:bottom w:val="single" w:sz="8" w:color="auto"/>
            </w:tcBorders>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1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jc w:val="right"/>
              <w:ind w:right="38"/>
              <w:spacing w:after="0" w:line="120" w:lineRule="exact"/>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435,186</w:t>
            </w:r>
          </w:p>
        </w:tc>
        <w:tc>
          <w:tcPr>
            <w:tcW w:w="1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jc w:val="right"/>
              <w:ind w:right="6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471,011</w:t>
            </w:r>
          </w:p>
        </w:tc>
      </w:tr>
      <w:tr>
        <w:trPr>
          <w:trHeight w:val="129"/>
        </w:trPr>
        <w:tc>
          <w:tcPr>
            <w:tcW w:w="82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30"/>
        </w:trPr>
        <w:tc>
          <w:tcPr>
            <w:tcW w:w="8200" w:type="dxa"/>
            <w:vAlign w:val="bottom"/>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Current Liabilities: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0"/>
        </w:trPr>
        <w:tc>
          <w:tcPr>
            <w:tcW w:w="8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Accounts payable and accrued liabilities</w:t>
            </w:r>
          </w:p>
        </w:tc>
        <w:tc>
          <w:tcPr>
            <w:tcW w:w="340" w:type="dxa"/>
            <w:vAlign w:val="bottom"/>
            <w:gridSpan w:val="2"/>
            <w:shd w:val="clear" w:color="auto" w:fill="CCEEFF"/>
          </w:tcPr>
          <w:p>
            <w:pPr>
              <w:jc w:val="right"/>
              <w:ind w:right="38"/>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55,027</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48,651</w:t>
            </w:r>
          </w:p>
        </w:tc>
      </w:tr>
      <w:tr>
        <w:trPr>
          <w:trHeight w:val="130"/>
        </w:trPr>
        <w:tc>
          <w:tcPr>
            <w:tcW w:w="82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Film rent payable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3,458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5,820</w:t>
            </w:r>
          </w:p>
        </w:tc>
      </w:tr>
      <w:tr>
        <w:trPr>
          <w:trHeight w:val="130"/>
        </w:trPr>
        <w:tc>
          <w:tcPr>
            <w:tcW w:w="8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Debt - current portion</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16,451</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69,193</w:t>
            </w:r>
          </w:p>
        </w:tc>
      </w:tr>
      <w:tr>
        <w:trPr>
          <w:trHeight w:val="130"/>
        </w:trPr>
        <w:tc>
          <w:tcPr>
            <w:tcW w:w="82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Derivative financial instruments - current portion</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131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r>
      <w:tr>
        <w:trPr>
          <w:trHeight w:val="130"/>
        </w:trPr>
        <w:tc>
          <w:tcPr>
            <w:tcW w:w="8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Taxes payable - current</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891</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891</w:t>
            </w:r>
          </w:p>
        </w:tc>
      </w:tr>
      <w:tr>
        <w:trPr>
          <w:trHeight w:val="130"/>
        </w:trPr>
        <w:tc>
          <w:tcPr>
            <w:tcW w:w="82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Deferred revenue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8,771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9,731</w:t>
            </w:r>
          </w:p>
        </w:tc>
      </w:tr>
      <w:tr>
        <w:trPr>
          <w:trHeight w:val="130"/>
        </w:trPr>
        <w:tc>
          <w:tcPr>
            <w:tcW w:w="8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Operating lease liabilities - current portion</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20,176</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20,747</w:t>
            </w:r>
          </w:p>
        </w:tc>
      </w:tr>
      <w:tr>
        <w:trPr>
          <w:trHeight w:val="130"/>
        </w:trPr>
        <w:tc>
          <w:tcPr>
            <w:tcW w:w="8200" w:type="dxa"/>
            <w:vAlign w:val="bottom"/>
            <w:tcBorders>
              <w:bottom w:val="single" w:sz="8" w:color="auto"/>
            </w:tcBorders>
          </w:tcPr>
          <w:p>
            <w:pPr>
              <w:spacing w:after="0" w:line="130" w:lineRule="exact"/>
              <w:rPr>
                <w:sz w:val="20"/>
                <w:szCs w:val="20"/>
                <w:color w:val="auto"/>
              </w:rPr>
            </w:pPr>
            <w:r>
              <w:rPr>
                <w:rFonts w:ascii="Times New Roman" w:cs="Times New Roman" w:eastAsia="Times New Roman" w:hAnsi="Times New Roman"/>
                <w:sz w:val="12"/>
                <w:szCs w:val="12"/>
                <w:color w:val="auto"/>
              </w:rPr>
              <w:t>Other current liabilities</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6,587</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6,593</w:t>
            </w:r>
          </w:p>
        </w:tc>
      </w:tr>
      <w:tr>
        <w:trPr>
          <w:trHeight w:val="120"/>
        </w:trPr>
        <w:tc>
          <w:tcPr>
            <w:tcW w:w="82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111,492</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161,626</w:t>
            </w:r>
          </w:p>
        </w:tc>
      </w:tr>
      <w:tr>
        <w:trPr>
          <w:trHeight w:val="130"/>
        </w:trPr>
        <w:tc>
          <w:tcPr>
            <w:tcW w:w="82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Debt - long-term portion</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127,601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105,239</w:t>
            </w:r>
          </w:p>
        </w:tc>
      </w:tr>
      <w:tr>
        <w:trPr>
          <w:trHeight w:val="130"/>
        </w:trPr>
        <w:tc>
          <w:tcPr>
            <w:tcW w:w="8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Derivative financial instruments - non-current portion</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137</w:t>
            </w:r>
          </w:p>
        </w:tc>
      </w:tr>
      <w:tr>
        <w:trPr>
          <w:trHeight w:val="130"/>
        </w:trPr>
        <w:tc>
          <w:tcPr>
            <w:tcW w:w="82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Subordinated debt, net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27,561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27,394</w:t>
            </w:r>
          </w:p>
        </w:tc>
      </w:tr>
      <w:tr>
        <w:trPr>
          <w:trHeight w:val="130"/>
        </w:trPr>
        <w:tc>
          <w:tcPr>
            <w:tcW w:w="8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Noncurrent tax liabilities</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6,384</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6,041</w:t>
            </w:r>
          </w:p>
        </w:tc>
      </w:tr>
      <w:tr>
        <w:trPr>
          <w:trHeight w:val="130"/>
        </w:trPr>
        <w:tc>
          <w:tcPr>
            <w:tcW w:w="82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Operating lease liabilities - non-current portion</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161,593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161,702</w:t>
            </w:r>
          </w:p>
        </w:tc>
      </w:tr>
      <w:tr>
        <w:trPr>
          <w:trHeight w:val="130"/>
        </w:trPr>
        <w:tc>
          <w:tcPr>
            <w:tcW w:w="8200" w:type="dxa"/>
            <w:vAlign w:val="bottom"/>
            <w:tcBorders>
              <w:bottom w:val="single" w:sz="8" w:color="auto"/>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Other liabilities</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13,567</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13,662</w:t>
            </w:r>
          </w:p>
        </w:tc>
      </w:tr>
      <w:tr>
        <w:trPr>
          <w:trHeight w:val="120"/>
        </w:trPr>
        <w:tc>
          <w:tcPr>
            <w:tcW w:w="8200" w:type="dxa"/>
            <w:vAlign w:val="bottom"/>
            <w:tcBorders>
              <w:bottom w:val="single" w:sz="8" w:color="auto"/>
            </w:tcBorders>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340" w:type="dxa"/>
            <w:vAlign w:val="bottom"/>
            <w:tcBorders>
              <w:bottom w:val="single" w:sz="8" w:color="CCEEFF"/>
            </w:tcBorders>
            <w:gridSpan w:val="2"/>
          </w:tcPr>
          <w:p>
            <w:pPr>
              <w:jc w:val="right"/>
              <w:ind w:right="38"/>
              <w:spacing w:after="0" w:line="120"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448,198</w:t>
            </w:r>
          </w:p>
        </w:tc>
        <w:tc>
          <w:tcPr>
            <w:tcW w:w="16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jc w:val="right"/>
              <w:ind w:right="6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475,801</w:t>
            </w:r>
          </w:p>
        </w:tc>
      </w:tr>
      <w:tr>
        <w:trPr>
          <w:trHeight w:val="120"/>
        </w:trPr>
        <w:tc>
          <w:tcPr>
            <w:tcW w:w="82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Commitments and contingencies (Note 16)</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130"/>
        </w:trPr>
        <w:tc>
          <w:tcPr>
            <w:tcW w:w="8200" w:type="dxa"/>
            <w:vAlign w:val="bottom"/>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Stockholders’ equity:</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08"/>
        </w:trPr>
        <w:tc>
          <w:tcPr>
            <w:tcW w:w="820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Class A non-voting common shares, par value $0.01, 100,000,000 shares authorized,</w:t>
            </w: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130"/>
        </w:trPr>
        <w:tc>
          <w:tcPr>
            <w:tcW w:w="8200" w:type="dxa"/>
            <w:vAlign w:val="bottom"/>
            <w:shd w:val="clear" w:color="auto" w:fill="CCEEFF"/>
          </w:tcPr>
          <w:p>
            <w:pPr>
              <w:ind w:left="60"/>
              <w:spacing w:after="0" w:line="130" w:lineRule="exact"/>
              <w:rPr>
                <w:sz w:val="20"/>
                <w:szCs w:val="20"/>
                <w:color w:val="auto"/>
              </w:rPr>
            </w:pPr>
            <w:r>
              <w:rPr>
                <w:rFonts w:ascii="Times New Roman" w:cs="Times New Roman" w:eastAsia="Times New Roman" w:hAnsi="Times New Roman"/>
                <w:sz w:val="12"/>
                <w:szCs w:val="12"/>
                <w:color w:val="auto"/>
              </w:rPr>
              <w:t>33,972,781 issued and 21,036,670 outstanding at September 30, 2025 and</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53"/>
        </w:trPr>
        <w:tc>
          <w:tcPr>
            <w:tcW w:w="8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33,681,705 issued and 20,745,594 outstanding at December 31, 2024</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w:t>
            </w:r>
          </w:p>
        </w:tc>
      </w:tr>
      <w:tr>
        <w:trPr>
          <w:trHeight w:val="108"/>
        </w:trPr>
        <w:tc>
          <w:tcPr>
            <w:tcW w:w="820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Class B voting common shares, par value $0.01, 20,000,000 shares authorized and</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153"/>
        </w:trPr>
        <w:tc>
          <w:tcPr>
            <w:tcW w:w="8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1,680,590 issued and outstanding at September 30, 2025 and December 31, 2024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08"/>
        </w:trPr>
        <w:tc>
          <w:tcPr>
            <w:tcW w:w="820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Nonvoting preferred shares, par value $0.01, 12,000 shares authorized and no issued</w:t>
            </w: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153"/>
        </w:trPr>
        <w:tc>
          <w:tcPr>
            <w:tcW w:w="8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or outstanding shares at September 30, 2025 and December 31, 2024</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0"/>
        </w:trPr>
        <w:tc>
          <w:tcPr>
            <w:tcW w:w="82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Additional paid-in capital</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159,087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157,751</w:t>
            </w:r>
          </w:p>
        </w:tc>
      </w:tr>
      <w:tr>
        <w:trPr>
          <w:trHeight w:val="130"/>
        </w:trPr>
        <w:tc>
          <w:tcPr>
            <w:tcW w:w="8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Retained earnings/(deficits)</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(126,370)</w:t>
            </w: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(114,790)</w:t>
            </w:r>
          </w:p>
        </w:tc>
      </w:tr>
      <w:tr>
        <w:trPr>
          <w:trHeight w:val="130"/>
        </w:trPr>
        <w:tc>
          <w:tcPr>
            <w:tcW w:w="82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Treasury shares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(40,407)</w:t>
            </w:r>
          </w:p>
        </w:tc>
        <w:tc>
          <w:tcPr>
            <w:tcW w:w="180" w:type="dxa"/>
            <w:vAlign w:val="bottom"/>
          </w:tcPr>
          <w:p>
            <w:pPr>
              <w:spacing w:after="0"/>
              <w:rPr>
                <w:sz w:val="11"/>
                <w:szCs w:val="11"/>
                <w:color w:val="auto"/>
              </w:rPr>
            </w:pPr>
          </w:p>
        </w:tc>
        <w:tc>
          <w:tcPr>
            <w:tcW w:w="12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(40,407)</w:t>
            </w:r>
          </w:p>
        </w:tc>
      </w:tr>
      <w:tr>
        <w:trPr>
          <w:trHeight w:val="130"/>
        </w:trPr>
        <w:tc>
          <w:tcPr>
            <w:tcW w:w="8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Accumulated other comprehensive income</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(4,630)</w:t>
            </w: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(7,173)</w:t>
            </w:r>
          </w:p>
        </w:tc>
      </w:tr>
      <w:tr>
        <w:trPr>
          <w:trHeight w:val="120"/>
        </w:trPr>
        <w:tc>
          <w:tcPr>
            <w:tcW w:w="8200" w:type="dxa"/>
            <w:vAlign w:val="bottom"/>
            <w:tcBorders>
              <w:top w:val="single" w:sz="8" w:color="auto"/>
            </w:tcBorders>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Total Reading International, Inc. stockholders’ equity</w:t>
            </w: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(12,062)</w:t>
            </w: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(4,364)</w:t>
            </w:r>
          </w:p>
        </w:tc>
      </w:tr>
      <w:tr>
        <w:trPr>
          <w:trHeight w:val="130"/>
        </w:trPr>
        <w:tc>
          <w:tcPr>
            <w:tcW w:w="8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Noncontrolling interests</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(950)</w:t>
            </w: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(426)</w:t>
            </w:r>
          </w:p>
        </w:tc>
      </w:tr>
      <w:tr>
        <w:trPr>
          <w:trHeight w:val="120"/>
        </w:trPr>
        <w:tc>
          <w:tcPr>
            <w:tcW w:w="8200" w:type="dxa"/>
            <w:vAlign w:val="bottom"/>
            <w:tcBorders>
              <w:top w:val="single" w:sz="8" w:color="auto"/>
              <w:bottom w:val="single" w:sz="8" w:color="auto"/>
            </w:tcBorders>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Total stockholders’ equity</w:t>
            </w:r>
          </w:p>
        </w:tc>
        <w:tc>
          <w:tcPr>
            <w:tcW w:w="16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12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(13,012)</w:t>
            </w:r>
          </w:p>
        </w:tc>
        <w:tc>
          <w:tcPr>
            <w:tcW w:w="16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122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(4,790)</w:t>
            </w:r>
          </w:p>
        </w:tc>
      </w:tr>
      <w:tr>
        <w:trPr>
          <w:trHeight w:val="120"/>
        </w:trPr>
        <w:tc>
          <w:tcPr>
            <w:tcW w:w="8200" w:type="dxa"/>
            <w:vAlign w:val="bottom"/>
            <w:tcBorders>
              <w:bottom w:val="single" w:sz="8" w:color="auto"/>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Total liabilities and stockholders’ equity</w:t>
            </w:r>
          </w:p>
        </w:tc>
        <w:tc>
          <w:tcPr>
            <w:tcW w:w="1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right"/>
              <w:ind w:right="38"/>
              <w:spacing w:after="0" w:line="120" w:lineRule="exact"/>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435,186</w:t>
            </w:r>
          </w:p>
        </w:tc>
        <w:tc>
          <w:tcPr>
            <w:tcW w:w="1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right"/>
              <w:ind w:right="6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471,011</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See accompanying Notes to the Unaudited Consolidated Financial Statements.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144145</wp:posOffset>
            </wp:positionV>
            <wp:extent cx="7200265" cy="37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246"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color w:val="auto"/>
        </w:rPr>
        <w:t>READING INTERNATIONAL,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CONSOLIDATED STATEMENTS OF INCOME</w:t>
      </w:r>
    </w:p>
    <w:p>
      <w:pPr>
        <w:spacing w:after="0"/>
        <w:rPr>
          <w:sz w:val="20"/>
          <w:szCs w:val="20"/>
          <w:color w:val="auto"/>
        </w:rPr>
      </w:pPr>
      <w:r>
        <w:rPr>
          <w:rFonts w:ascii="Times New Roman" w:cs="Times New Roman" w:eastAsia="Times New Roman" w:hAnsi="Times New Roman"/>
          <w:sz w:val="12"/>
          <w:szCs w:val="12"/>
          <w:i w:val="1"/>
          <w:iCs w:val="1"/>
          <w:color w:val="auto"/>
        </w:rPr>
        <w:t>(Unaudited; U.S. dollars in thousands,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3"/>
          </w:tcPr>
          <w:p>
            <w:pPr>
              <w:jc w:val="right"/>
              <w:ind w:right="123"/>
              <w:spacing w:after="0"/>
              <w:rPr>
                <w:sz w:val="20"/>
                <w:szCs w:val="20"/>
                <w:color w:val="auto"/>
              </w:rPr>
            </w:pPr>
            <w:r>
              <w:rPr>
                <w:rFonts w:ascii="Times New Roman" w:cs="Times New Roman" w:eastAsia="Times New Roman" w:hAnsi="Times New Roman"/>
                <w:sz w:val="10"/>
                <w:szCs w:val="10"/>
                <w:b w:val="1"/>
                <w:bCs w:val="1"/>
                <w:color w:val="auto"/>
              </w:rPr>
              <w:t>Quarter Ended</w:t>
            </w: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80" w:type="dxa"/>
            <w:vAlign w:val="bottom"/>
            <w:gridSpan w:val="3"/>
          </w:tcPr>
          <w:p>
            <w:pPr>
              <w:jc w:val="right"/>
              <w:ind w:right="63"/>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920" w:type="dxa"/>
            <w:vAlign w:val="bottom"/>
          </w:tcPr>
          <w:p>
            <w:pPr>
              <w:spacing w:after="0"/>
              <w:rPr>
                <w:sz w:val="10"/>
                <w:szCs w:val="10"/>
                <w:color w:val="auto"/>
              </w:rPr>
            </w:pPr>
          </w:p>
        </w:tc>
      </w:tr>
      <w:tr>
        <w:trPr>
          <w:trHeight w:val="128"/>
        </w:trPr>
        <w:tc>
          <w:tcPr>
            <w:tcW w:w="5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jc w:val="right"/>
              <w:ind w:right="143"/>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9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right"/>
              <w:ind w:right="183"/>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920" w:type="dxa"/>
            <w:vAlign w:val="bottom"/>
            <w:tcBorders>
              <w:bottom w:val="single" w:sz="8" w:color="auto"/>
            </w:tcBorders>
          </w:tcPr>
          <w:p>
            <w:pPr>
              <w:spacing w:after="0"/>
              <w:rPr>
                <w:sz w:val="11"/>
                <w:szCs w:val="11"/>
                <w:color w:val="auto"/>
              </w:rPr>
            </w:pPr>
          </w:p>
        </w:tc>
      </w:tr>
      <w:tr>
        <w:trPr>
          <w:trHeight w:val="110"/>
        </w:trPr>
        <w:tc>
          <w:tcPr>
            <w:tcW w:w="5140" w:type="dxa"/>
            <w:vAlign w:val="bottom"/>
            <w:tcBorders>
              <w:bottom w:val="single" w:sz="8" w:color="auto"/>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519"/>
              <w:spacing w:after="0" w:line="111" w:lineRule="exact"/>
              <w:rPr>
                <w:sz w:val="20"/>
                <w:szCs w:val="20"/>
                <w:color w:val="auto"/>
              </w:rPr>
            </w:pPr>
            <w:r>
              <w:rPr>
                <w:rFonts w:ascii="Times New Roman" w:cs="Times New Roman" w:eastAsia="Times New Roman" w:hAnsi="Times New Roman"/>
                <w:sz w:val="10"/>
                <w:szCs w:val="10"/>
                <w:b w:val="1"/>
                <w:bCs w:val="1"/>
                <w:color w:val="auto"/>
              </w:rPr>
              <w:t>2025</w:t>
            </w:r>
          </w:p>
        </w:tc>
        <w:tc>
          <w:tcPr>
            <w:tcW w:w="16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538"/>
              <w:spacing w:after="0" w:line="111" w:lineRule="exact"/>
              <w:rPr>
                <w:sz w:val="20"/>
                <w:szCs w:val="20"/>
                <w:color w:val="auto"/>
              </w:rPr>
            </w:pPr>
            <w:r>
              <w:rPr>
                <w:rFonts w:ascii="Times New Roman" w:cs="Times New Roman" w:eastAsia="Times New Roman" w:hAnsi="Times New Roman"/>
                <w:sz w:val="10"/>
                <w:szCs w:val="10"/>
                <w:b w:val="1"/>
                <w:bCs w:val="1"/>
                <w:color w:val="auto"/>
              </w:rPr>
              <w:t>2024</w:t>
            </w:r>
          </w:p>
        </w:tc>
        <w:tc>
          <w:tcPr>
            <w:tcW w:w="16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519"/>
              <w:spacing w:after="0" w:line="111" w:lineRule="exact"/>
              <w:rPr>
                <w:sz w:val="20"/>
                <w:szCs w:val="20"/>
                <w:color w:val="auto"/>
              </w:rPr>
            </w:pPr>
            <w:r>
              <w:rPr>
                <w:rFonts w:ascii="Times New Roman" w:cs="Times New Roman" w:eastAsia="Times New Roman" w:hAnsi="Times New Roman"/>
                <w:sz w:val="10"/>
                <w:szCs w:val="10"/>
                <w:b w:val="1"/>
                <w:bCs w:val="1"/>
                <w:color w:val="auto"/>
              </w:rPr>
              <w:t>2025</w:t>
            </w:r>
          </w:p>
        </w:tc>
        <w:tc>
          <w:tcPr>
            <w:tcW w:w="18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538"/>
              <w:spacing w:after="0" w:line="111" w:lineRule="exact"/>
              <w:rPr>
                <w:sz w:val="20"/>
                <w:szCs w:val="20"/>
                <w:color w:val="auto"/>
              </w:rPr>
            </w:pPr>
            <w:r>
              <w:rPr>
                <w:rFonts w:ascii="Times New Roman" w:cs="Times New Roman" w:eastAsia="Times New Roman" w:hAnsi="Times New Roman"/>
                <w:sz w:val="10"/>
                <w:szCs w:val="10"/>
                <w:b w:val="1"/>
                <w:bCs w:val="1"/>
                <w:color w:val="auto"/>
              </w:rPr>
              <w:t>2024</w:t>
            </w:r>
          </w:p>
        </w:tc>
      </w:tr>
      <w:tr>
        <w:trPr>
          <w:trHeight w:val="129"/>
        </w:trPr>
        <w:tc>
          <w:tcPr>
            <w:tcW w:w="51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Revenue</w:t>
            </w: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30"/>
        </w:trPr>
        <w:tc>
          <w:tcPr>
            <w:tcW w:w="532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color w:val="auto"/>
              </w:rPr>
              <w:t>Cinema</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48,555</w:t>
            </w:r>
          </w:p>
        </w:tc>
        <w:tc>
          <w:tcPr>
            <w:tcW w:w="160" w:type="dxa"/>
            <w:vAlign w:val="bottom"/>
          </w:tcPr>
          <w:p>
            <w:pPr>
              <w:spacing w:after="0"/>
              <w:rPr>
                <w:sz w:val="11"/>
                <w:szCs w:val="11"/>
                <w:color w:val="auto"/>
              </w:rPr>
            </w:pPr>
          </w:p>
        </w:tc>
        <w:tc>
          <w:tcPr>
            <w:tcW w:w="42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56,357</w:t>
            </w:r>
          </w:p>
        </w:tc>
        <w:tc>
          <w:tcPr>
            <w:tcW w:w="160" w:type="dxa"/>
            <w:vAlign w:val="bottom"/>
          </w:tcPr>
          <w:p>
            <w:pPr>
              <w:spacing w:after="0"/>
              <w:rPr>
                <w:sz w:val="11"/>
                <w:szCs w:val="11"/>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141,740</w:t>
            </w:r>
          </w:p>
        </w:tc>
        <w:tc>
          <w:tcPr>
            <w:tcW w:w="640" w:type="dxa"/>
            <w:vAlign w:val="bottom"/>
            <w:gridSpan w:val="2"/>
          </w:tcPr>
          <w:p>
            <w:pPr>
              <w:jc w:val="right"/>
              <w:ind w:right="343"/>
              <w:spacing w:after="0" w:line="130"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140,570</w:t>
            </w:r>
          </w:p>
        </w:tc>
      </w:tr>
      <w:tr>
        <w:trPr>
          <w:trHeight w:val="130"/>
        </w:trPr>
        <w:tc>
          <w:tcPr>
            <w:tcW w:w="532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Real estate</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3,615</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3,733</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10,976</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11,381</w:t>
            </w:r>
          </w:p>
        </w:tc>
      </w:tr>
      <w:tr>
        <w:trPr>
          <w:trHeight w:val="120"/>
        </w:trPr>
        <w:tc>
          <w:tcPr>
            <w:tcW w:w="5140" w:type="dxa"/>
            <w:vAlign w:val="bottom"/>
            <w:tcBorders>
              <w:top w:val="single" w:sz="8" w:color="auto"/>
              <w:bottom w:val="single" w:sz="8" w:color="auto"/>
            </w:tcBorders>
          </w:tcPr>
          <w:p>
            <w:pPr>
              <w:spacing w:after="0" w:line="120" w:lineRule="exact"/>
              <w:rPr>
                <w:sz w:val="20"/>
                <w:szCs w:val="20"/>
                <w:color w:val="auto"/>
              </w:rPr>
            </w:pPr>
            <w:r>
              <w:rPr>
                <w:rFonts w:ascii="Times New Roman" w:cs="Times New Roman" w:eastAsia="Times New Roman" w:hAnsi="Times New Roman"/>
                <w:sz w:val="12"/>
                <w:szCs w:val="12"/>
                <w:color w:val="auto"/>
              </w:rPr>
              <w:t>Total revenue</w:t>
            </w:r>
          </w:p>
        </w:tc>
        <w:tc>
          <w:tcPr>
            <w:tcW w:w="180" w:type="dxa"/>
            <w:vAlign w:val="bottom"/>
            <w:tcBorders>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52,170</w:t>
            </w:r>
          </w:p>
        </w:tc>
        <w:tc>
          <w:tcPr>
            <w:tcW w:w="160" w:type="dxa"/>
            <w:vAlign w:val="bottom"/>
            <w:tcBorders>
              <w:bottom w:val="single" w:sz="8" w:color="CCEEFF"/>
            </w:tcBorders>
          </w:tcPr>
          <w:p>
            <w:pPr>
              <w:spacing w:after="0"/>
              <w:rPr>
                <w:sz w:val="10"/>
                <w:szCs w:val="10"/>
                <w:color w:val="auto"/>
              </w:rPr>
            </w:pPr>
          </w:p>
        </w:tc>
        <w:tc>
          <w:tcPr>
            <w:tcW w:w="42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60,090</w:t>
            </w:r>
          </w:p>
        </w:tc>
        <w:tc>
          <w:tcPr>
            <w:tcW w:w="160" w:type="dxa"/>
            <w:vAlign w:val="bottom"/>
            <w:tcBorders>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152,716</w:t>
            </w:r>
          </w:p>
        </w:tc>
        <w:tc>
          <w:tcPr>
            <w:tcW w:w="18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151,951</w:t>
            </w:r>
          </w:p>
        </w:tc>
      </w:tr>
      <w:tr>
        <w:trPr>
          <w:trHeight w:val="120"/>
        </w:trPr>
        <w:tc>
          <w:tcPr>
            <w:tcW w:w="51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Costs and expenses</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130"/>
        </w:trPr>
        <w:tc>
          <w:tcPr>
            <w:tcW w:w="532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color w:val="auto"/>
              </w:rPr>
              <w:t>Cinema</w:t>
            </w:r>
          </w:p>
        </w:tc>
        <w:tc>
          <w:tcPr>
            <w:tcW w:w="320" w:type="dxa"/>
            <w:vAlign w:val="bottom"/>
          </w:tcPr>
          <w:p>
            <w:pPr>
              <w:spacing w:after="0"/>
              <w:rPr>
                <w:sz w:val="11"/>
                <w:szCs w:val="11"/>
                <w:color w:val="auto"/>
              </w:rPr>
            </w:pPr>
          </w:p>
        </w:tc>
        <w:tc>
          <w:tcPr>
            <w:tcW w:w="120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(42,742)</w:t>
            </w:r>
          </w:p>
        </w:tc>
        <w:tc>
          <w:tcPr>
            <w:tcW w:w="42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(49,468)</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(126,203)</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(132,944)</w:t>
            </w:r>
          </w:p>
        </w:tc>
      </w:tr>
      <w:tr>
        <w:trPr>
          <w:trHeight w:val="130"/>
        </w:trPr>
        <w:tc>
          <w:tcPr>
            <w:tcW w:w="532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Real estate</w:t>
            </w:r>
          </w:p>
        </w:tc>
        <w:tc>
          <w:tcPr>
            <w:tcW w:w="32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(1,863)</w:t>
            </w:r>
          </w:p>
        </w:tc>
        <w:tc>
          <w:tcPr>
            <w:tcW w:w="4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(2,106)</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(5,658)</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(6,801)</w:t>
            </w:r>
          </w:p>
        </w:tc>
      </w:tr>
      <w:tr>
        <w:trPr>
          <w:trHeight w:val="130"/>
        </w:trPr>
        <w:tc>
          <w:tcPr>
            <w:tcW w:w="532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320" w:type="dxa"/>
            <w:vAlign w:val="bottom"/>
          </w:tcPr>
          <w:p>
            <w:pPr>
              <w:spacing w:after="0"/>
              <w:rPr>
                <w:sz w:val="11"/>
                <w:szCs w:val="11"/>
                <w:color w:val="auto"/>
              </w:rPr>
            </w:pPr>
          </w:p>
        </w:tc>
        <w:tc>
          <w:tcPr>
            <w:tcW w:w="120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(3,236)</w:t>
            </w:r>
          </w:p>
        </w:tc>
        <w:tc>
          <w:tcPr>
            <w:tcW w:w="42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(3,926)</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(9,992)</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(12,142)</w:t>
            </w:r>
          </w:p>
        </w:tc>
      </w:tr>
      <w:tr>
        <w:trPr>
          <w:trHeight w:val="130"/>
        </w:trPr>
        <w:tc>
          <w:tcPr>
            <w:tcW w:w="532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General and administrative</w:t>
            </w:r>
          </w:p>
        </w:tc>
        <w:tc>
          <w:tcPr>
            <w:tcW w:w="32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(4,658)</w:t>
            </w:r>
          </w:p>
        </w:tc>
        <w:tc>
          <w:tcPr>
            <w:tcW w:w="4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(4,933)</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(15,194)</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(15,626)</w:t>
            </w:r>
          </w:p>
        </w:tc>
      </w:tr>
      <w:tr>
        <w:trPr>
          <w:trHeight w:val="120"/>
        </w:trPr>
        <w:tc>
          <w:tcPr>
            <w:tcW w:w="5140" w:type="dxa"/>
            <w:vAlign w:val="bottom"/>
            <w:tcBorders>
              <w:top w:val="single" w:sz="8" w:color="auto"/>
              <w:bottom w:val="single" w:sz="8" w:color="auto"/>
            </w:tcBorders>
          </w:tcPr>
          <w:p>
            <w:pPr>
              <w:spacing w:after="0" w:line="120" w:lineRule="exact"/>
              <w:rPr>
                <w:sz w:val="20"/>
                <w:szCs w:val="20"/>
                <w:color w:val="auto"/>
              </w:rPr>
            </w:pPr>
            <w:r>
              <w:rPr>
                <w:rFonts w:ascii="Times New Roman" w:cs="Times New Roman" w:eastAsia="Times New Roman" w:hAnsi="Times New Roman"/>
                <w:sz w:val="12"/>
                <w:szCs w:val="12"/>
                <w:color w:val="auto"/>
              </w:rPr>
              <w:t>Total costs and expenses</w:t>
            </w:r>
          </w:p>
        </w:tc>
        <w:tc>
          <w:tcPr>
            <w:tcW w:w="180" w:type="dxa"/>
            <w:vAlign w:val="bottom"/>
            <w:tcBorders>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(52,499)</w:t>
            </w:r>
          </w:p>
        </w:tc>
        <w:tc>
          <w:tcPr>
            <w:tcW w:w="160" w:type="dxa"/>
            <w:vAlign w:val="bottom"/>
            <w:tcBorders>
              <w:bottom w:val="single" w:sz="8" w:color="CCEEFF"/>
            </w:tcBorders>
          </w:tcPr>
          <w:p>
            <w:pPr>
              <w:spacing w:after="0"/>
              <w:rPr>
                <w:sz w:val="10"/>
                <w:szCs w:val="10"/>
                <w:color w:val="auto"/>
              </w:rPr>
            </w:pPr>
          </w:p>
        </w:tc>
        <w:tc>
          <w:tcPr>
            <w:tcW w:w="42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(60,433)</w:t>
            </w:r>
          </w:p>
        </w:tc>
        <w:tc>
          <w:tcPr>
            <w:tcW w:w="160" w:type="dxa"/>
            <w:vAlign w:val="bottom"/>
            <w:tcBorders>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(157,047)</w:t>
            </w:r>
          </w:p>
        </w:tc>
        <w:tc>
          <w:tcPr>
            <w:tcW w:w="18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(167,513)</w:t>
            </w:r>
          </w:p>
        </w:tc>
      </w:tr>
      <w:tr>
        <w:trPr>
          <w:trHeight w:val="120"/>
        </w:trPr>
        <w:tc>
          <w:tcPr>
            <w:tcW w:w="51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Operating income (loss)</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(329)</w:t>
            </w: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(343)</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(4,331)</w:t>
            </w: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(15,562)</w:t>
            </w:r>
          </w:p>
        </w:tc>
      </w:tr>
      <w:tr>
        <w:trPr>
          <w:trHeight w:val="130"/>
        </w:trPr>
        <w:tc>
          <w:tcPr>
            <w:tcW w:w="532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color w:val="auto"/>
              </w:rPr>
              <w:t>Interest expense, net</w:t>
            </w:r>
          </w:p>
        </w:tc>
        <w:tc>
          <w:tcPr>
            <w:tcW w:w="320" w:type="dxa"/>
            <w:vAlign w:val="bottom"/>
          </w:tcPr>
          <w:p>
            <w:pPr>
              <w:spacing w:after="0"/>
              <w:rPr>
                <w:sz w:val="11"/>
                <w:szCs w:val="11"/>
                <w:color w:val="auto"/>
              </w:rPr>
            </w:pPr>
          </w:p>
        </w:tc>
        <w:tc>
          <w:tcPr>
            <w:tcW w:w="120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(4,174)</w:t>
            </w:r>
          </w:p>
        </w:tc>
        <w:tc>
          <w:tcPr>
            <w:tcW w:w="42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(5,245)</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(13,270)</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(15,907)</w:t>
            </w:r>
          </w:p>
        </w:tc>
      </w:tr>
      <w:tr>
        <w:trPr>
          <w:trHeight w:val="130"/>
        </w:trPr>
        <w:tc>
          <w:tcPr>
            <w:tcW w:w="532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Gain (loss) on sale of assets</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(66)</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(208)</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8,332</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(1,324)</w:t>
            </w:r>
          </w:p>
        </w:tc>
      </w:tr>
      <w:tr>
        <w:trPr>
          <w:trHeight w:val="130"/>
        </w:trPr>
        <w:tc>
          <w:tcPr>
            <w:tcW w:w="532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color w:val="auto"/>
              </w:rPr>
              <w:t>Other income (expense)</w:t>
            </w:r>
          </w:p>
        </w:tc>
        <w:tc>
          <w:tcPr>
            <w:tcW w:w="320" w:type="dxa"/>
            <w:vAlign w:val="bottom"/>
          </w:tcPr>
          <w:p>
            <w:pPr>
              <w:spacing w:after="0"/>
              <w:rPr>
                <w:sz w:val="11"/>
                <w:szCs w:val="11"/>
                <w:color w:val="auto"/>
              </w:rPr>
            </w:pPr>
          </w:p>
        </w:tc>
        <w:tc>
          <w:tcPr>
            <w:tcW w:w="120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462</w:t>
            </w:r>
          </w:p>
        </w:tc>
        <w:tc>
          <w:tcPr>
            <w:tcW w:w="42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(714)</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(2,145)</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(593)</w:t>
            </w:r>
          </w:p>
        </w:tc>
      </w:tr>
      <w:tr>
        <w:trPr>
          <w:trHeight w:val="120"/>
        </w:trPr>
        <w:tc>
          <w:tcPr>
            <w:tcW w:w="5140" w:type="dxa"/>
            <w:vAlign w:val="bottom"/>
            <w:tcBorders>
              <w:top w:val="single" w:sz="8" w:color="auto"/>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Income (loss) before income tax expense and equity earnings of unconsolidated joint ventures</w:t>
            </w:r>
          </w:p>
        </w:tc>
        <w:tc>
          <w:tcPr>
            <w:tcW w:w="1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(4,107)</w:t>
            </w:r>
          </w:p>
        </w:tc>
        <w:tc>
          <w:tcPr>
            <w:tcW w:w="1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(6,510)</w:t>
            </w:r>
          </w:p>
        </w:tc>
        <w:tc>
          <w:tcPr>
            <w:tcW w:w="1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(11,414)</w:t>
            </w:r>
          </w:p>
        </w:tc>
        <w:tc>
          <w:tcPr>
            <w:tcW w:w="1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(33,386)</w:t>
            </w:r>
          </w:p>
        </w:tc>
      </w:tr>
      <w:tr>
        <w:trPr>
          <w:trHeight w:val="130"/>
        </w:trPr>
        <w:tc>
          <w:tcPr>
            <w:tcW w:w="532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color w:val="auto"/>
              </w:rPr>
              <w:t>Equity earnings of unconsolidated joint ventures</w:t>
            </w:r>
          </w:p>
        </w:tc>
        <w:tc>
          <w:tcPr>
            <w:tcW w:w="320" w:type="dxa"/>
            <w:vAlign w:val="bottom"/>
          </w:tcPr>
          <w:p>
            <w:pPr>
              <w:spacing w:after="0"/>
              <w:rPr>
                <w:sz w:val="11"/>
                <w:szCs w:val="11"/>
                <w:color w:val="auto"/>
              </w:rPr>
            </w:pPr>
          </w:p>
        </w:tc>
        <w:tc>
          <w:tcPr>
            <w:tcW w:w="10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121</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71</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428</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164</w:t>
            </w:r>
          </w:p>
        </w:tc>
      </w:tr>
      <w:tr>
        <w:trPr>
          <w:trHeight w:val="120"/>
        </w:trPr>
        <w:tc>
          <w:tcPr>
            <w:tcW w:w="5140" w:type="dxa"/>
            <w:vAlign w:val="bottom"/>
            <w:tcBorders>
              <w:top w:val="single" w:sz="8" w:color="auto"/>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Income (loss) before income taxes</w:t>
            </w:r>
          </w:p>
        </w:tc>
        <w:tc>
          <w:tcPr>
            <w:tcW w:w="1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(3,986)</w:t>
            </w:r>
          </w:p>
        </w:tc>
        <w:tc>
          <w:tcPr>
            <w:tcW w:w="1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(6,439)</w:t>
            </w:r>
          </w:p>
        </w:tc>
        <w:tc>
          <w:tcPr>
            <w:tcW w:w="1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(10,986)</w:t>
            </w:r>
          </w:p>
        </w:tc>
        <w:tc>
          <w:tcPr>
            <w:tcW w:w="1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(33,222)</w:t>
            </w:r>
          </w:p>
        </w:tc>
      </w:tr>
      <w:tr>
        <w:trPr>
          <w:trHeight w:val="130"/>
        </w:trPr>
        <w:tc>
          <w:tcPr>
            <w:tcW w:w="532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color w:val="auto"/>
              </w:rPr>
              <w:t>Income tax benefit (expense)</w:t>
            </w:r>
          </w:p>
        </w:tc>
        <w:tc>
          <w:tcPr>
            <w:tcW w:w="320" w:type="dxa"/>
            <w:vAlign w:val="bottom"/>
          </w:tcPr>
          <w:p>
            <w:pPr>
              <w:spacing w:after="0"/>
              <w:rPr>
                <w:sz w:val="11"/>
                <w:szCs w:val="11"/>
                <w:color w:val="auto"/>
              </w:rPr>
            </w:pPr>
          </w:p>
        </w:tc>
        <w:tc>
          <w:tcPr>
            <w:tcW w:w="120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(319)</w:t>
            </w:r>
          </w:p>
        </w:tc>
        <w:tc>
          <w:tcPr>
            <w:tcW w:w="42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(700)</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(1,071)</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(321)</w:t>
            </w:r>
          </w:p>
        </w:tc>
      </w:tr>
      <w:tr>
        <w:trPr>
          <w:trHeight w:val="120"/>
        </w:trPr>
        <w:tc>
          <w:tcPr>
            <w:tcW w:w="5140" w:type="dxa"/>
            <w:vAlign w:val="bottom"/>
            <w:tcBorders>
              <w:top w:val="single" w:sz="8" w:color="auto"/>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Net income (loss)</w:t>
            </w:r>
          </w:p>
        </w:tc>
        <w:tc>
          <w:tcPr>
            <w:tcW w:w="1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ind w:right="20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(4,305)</w:t>
            </w:r>
          </w:p>
        </w:tc>
        <w:tc>
          <w:tcPr>
            <w:tcW w:w="1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ind w:right="30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(7,139)</w:t>
            </w:r>
          </w:p>
        </w:tc>
        <w:tc>
          <w:tcPr>
            <w:tcW w:w="1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ind w:right="20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(12,057)</w:t>
            </w:r>
          </w:p>
        </w:tc>
        <w:tc>
          <w:tcPr>
            <w:tcW w:w="1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ind w:right="34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(33,543)</w:t>
            </w:r>
          </w:p>
        </w:tc>
      </w:tr>
      <w:tr>
        <w:trPr>
          <w:trHeight w:val="130"/>
        </w:trPr>
        <w:tc>
          <w:tcPr>
            <w:tcW w:w="532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color w:val="auto"/>
              </w:rPr>
              <w:t>Less: net income (loss) attributable to noncontrolling interests</w:t>
            </w:r>
          </w:p>
        </w:tc>
        <w:tc>
          <w:tcPr>
            <w:tcW w:w="320" w:type="dxa"/>
            <w:vAlign w:val="bottom"/>
          </w:tcPr>
          <w:p>
            <w:pPr>
              <w:spacing w:after="0"/>
              <w:rPr>
                <w:sz w:val="11"/>
                <w:szCs w:val="11"/>
                <w:color w:val="auto"/>
              </w:rPr>
            </w:pPr>
          </w:p>
        </w:tc>
        <w:tc>
          <w:tcPr>
            <w:tcW w:w="120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(148)</w:t>
            </w:r>
          </w:p>
        </w:tc>
        <w:tc>
          <w:tcPr>
            <w:tcW w:w="42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(111)</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(477)</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(481)</w:t>
            </w:r>
          </w:p>
        </w:tc>
      </w:tr>
      <w:tr>
        <w:trPr>
          <w:trHeight w:val="140"/>
        </w:trPr>
        <w:tc>
          <w:tcPr>
            <w:tcW w:w="5140" w:type="dxa"/>
            <w:vAlign w:val="bottom"/>
            <w:tcBorders>
              <w:top w:val="single" w:sz="8" w:color="auto"/>
              <w:bottom w:val="single" w:sz="8" w:color="auto"/>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Net income (loss) attributable to Reading International, Inc.</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20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(4,157)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ind w:right="30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(7,028)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20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(11,580)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34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(33,062)</w:t>
            </w:r>
          </w:p>
        </w:tc>
      </w:tr>
      <w:tr>
        <w:trPr>
          <w:trHeight w:val="109"/>
        </w:trPr>
        <w:tc>
          <w:tcPr>
            <w:tcW w:w="5140" w:type="dxa"/>
            <w:vAlign w:val="bottom"/>
            <w:tcBorders>
              <w:bottom w:val="single" w:sz="8" w:color="auto"/>
            </w:tcBorders>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Basic earnings (loss) per share</w:t>
            </w:r>
          </w:p>
        </w:tc>
        <w:tc>
          <w:tcPr>
            <w:tcW w:w="18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jc w:val="right"/>
              <w:ind w:right="20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(0.18)</w:t>
            </w:r>
          </w:p>
        </w:tc>
        <w:tc>
          <w:tcPr>
            <w:tcW w:w="16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tcPr>
          <w:p>
            <w:pPr>
              <w:jc w:val="right"/>
              <w:ind w:right="30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(0.31)</w:t>
            </w:r>
          </w:p>
        </w:tc>
        <w:tc>
          <w:tcPr>
            <w:tcW w:w="16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jc w:val="right"/>
              <w:ind w:right="20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(0.51)</w:t>
            </w:r>
          </w:p>
        </w:tc>
        <w:tc>
          <w:tcPr>
            <w:tcW w:w="18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jc w:val="right"/>
              <w:ind w:right="34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(1.48)</w:t>
            </w:r>
          </w:p>
        </w:tc>
      </w:tr>
      <w:tr>
        <w:trPr>
          <w:trHeight w:val="149"/>
        </w:trPr>
        <w:tc>
          <w:tcPr>
            <w:tcW w:w="514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Diluted earnings (loss) per share</w:t>
            </w:r>
          </w:p>
        </w:tc>
        <w:tc>
          <w:tcPr>
            <w:tcW w:w="1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(0.18)</w:t>
            </w:r>
          </w:p>
        </w:tc>
        <w:tc>
          <w:tcPr>
            <w:tcW w:w="1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(0.31)</w:t>
            </w:r>
          </w:p>
        </w:tc>
        <w:tc>
          <w:tcPr>
            <w:tcW w:w="1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(0.51)</w:t>
            </w:r>
          </w:p>
        </w:tc>
        <w:tc>
          <w:tcPr>
            <w:tcW w:w="1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(1.48)</w:t>
            </w:r>
          </w:p>
        </w:tc>
      </w:tr>
      <w:tr>
        <w:trPr>
          <w:trHeight w:val="109"/>
        </w:trPr>
        <w:tc>
          <w:tcPr>
            <w:tcW w:w="514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Weighted average number of shares outstanding–basic</w:t>
            </w: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22,717,260</w:t>
            </w: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22,426,184</w:t>
            </w: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22,631,660</w:t>
            </w: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22,394,385</w:t>
            </w:r>
          </w:p>
        </w:tc>
      </w:tr>
      <w:tr>
        <w:trPr>
          <w:trHeight w:val="130"/>
        </w:trPr>
        <w:tc>
          <w:tcPr>
            <w:tcW w:w="5140" w:type="dxa"/>
            <w:vAlign w:val="bottom"/>
            <w:tcBorders>
              <w:bottom w:val="single" w:sz="8" w:color="auto"/>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Weighted average number of shares outstanding–diluted</w:t>
            </w: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22,717,260</w:t>
            </w:r>
          </w:p>
        </w:tc>
        <w:tc>
          <w:tcPr>
            <w:tcW w:w="1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22,426,184</w:t>
            </w:r>
          </w:p>
        </w:tc>
        <w:tc>
          <w:tcPr>
            <w:tcW w:w="1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22,631,660</w:t>
            </w:r>
          </w:p>
        </w:tc>
        <w:tc>
          <w:tcPr>
            <w:tcW w:w="1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22,394,385</w:t>
            </w: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See accompanying Notes to the Unaudited Consolidated Financial Statements</w:t>
      </w:r>
      <w:r>
        <w:rPr>
          <w:rFonts w:ascii="Times New Roman" w:cs="Times New Roman" w:eastAsia="Times New Roman" w:hAnsi="Times New Roman"/>
          <w:sz w:val="11"/>
          <w:szCs w:val="11"/>
          <w:color w:val="auto"/>
        </w:rPr>
        <w: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144145</wp:posOffset>
            </wp:positionV>
            <wp:extent cx="7200265" cy="37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246"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t>READING INTERNATIONAL,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CONSOLIDATED STATEMENTS OF COMPREHENSIVE INCOME</w:t>
      </w:r>
    </w:p>
    <w:p>
      <w:pPr>
        <w:spacing w:after="0"/>
        <w:rPr>
          <w:sz w:val="20"/>
          <w:szCs w:val="20"/>
          <w:color w:val="auto"/>
        </w:rPr>
      </w:pPr>
      <w:r>
        <w:rPr>
          <w:rFonts w:ascii="Times New Roman" w:cs="Times New Roman" w:eastAsia="Times New Roman" w:hAnsi="Times New Roman"/>
          <w:sz w:val="12"/>
          <w:szCs w:val="12"/>
          <w:i w:val="1"/>
          <w:iCs w:val="1"/>
          <w:color w:val="auto"/>
        </w:rPr>
        <w:t>(Unaudited; U.S.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60" w:type="dxa"/>
            <w:vAlign w:val="bottom"/>
            <w:gridSpan w:val="3"/>
          </w:tcPr>
          <w:p>
            <w:pPr>
              <w:jc w:val="center"/>
              <w:ind w:right="347"/>
              <w:spacing w:after="0"/>
              <w:rPr>
                <w:sz w:val="20"/>
                <w:szCs w:val="20"/>
                <w:color w:val="auto"/>
              </w:rPr>
            </w:pPr>
            <w:r>
              <w:rPr>
                <w:rFonts w:ascii="Times New Roman" w:cs="Times New Roman" w:eastAsia="Times New Roman" w:hAnsi="Times New Roman"/>
                <w:sz w:val="10"/>
                <w:szCs w:val="10"/>
                <w:b w:val="1"/>
                <w:bCs w:val="1"/>
                <w:color w:val="auto"/>
                <w:w w:val="97"/>
              </w:rPr>
              <w:t>Quarter Ended</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80" w:type="dxa"/>
            <w:vAlign w:val="bottom"/>
            <w:gridSpan w:val="4"/>
          </w:tcPr>
          <w:p>
            <w:pPr>
              <w:jc w:val="right"/>
              <w:ind w:right="94"/>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920" w:type="dxa"/>
            <w:vAlign w:val="bottom"/>
          </w:tcPr>
          <w:p>
            <w:pPr>
              <w:spacing w:after="0"/>
              <w:rPr>
                <w:sz w:val="10"/>
                <w:szCs w:val="10"/>
                <w:color w:val="auto"/>
              </w:rPr>
            </w:pPr>
          </w:p>
        </w:tc>
      </w:tr>
      <w:tr>
        <w:trPr>
          <w:trHeight w:val="128"/>
        </w:trPr>
        <w:tc>
          <w:tcPr>
            <w:tcW w:w="5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center"/>
              <w:ind w:right="347"/>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4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920" w:type="dxa"/>
            <w:vAlign w:val="bottom"/>
            <w:tcBorders>
              <w:bottom w:val="single" w:sz="8" w:color="auto"/>
            </w:tcBorders>
          </w:tcPr>
          <w:p>
            <w:pPr>
              <w:spacing w:after="0"/>
              <w:rPr>
                <w:sz w:val="11"/>
                <w:szCs w:val="11"/>
                <w:color w:val="auto"/>
              </w:rPr>
            </w:pPr>
          </w:p>
        </w:tc>
      </w:tr>
      <w:tr>
        <w:trPr>
          <w:trHeight w:val="110"/>
        </w:trPr>
        <w:tc>
          <w:tcPr>
            <w:tcW w:w="5140" w:type="dxa"/>
            <w:vAlign w:val="bottom"/>
            <w:tcBorders>
              <w:bottom w:val="single" w:sz="8" w:color="auto"/>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60" w:type="dxa"/>
            <w:vAlign w:val="bottom"/>
            <w:tcBorders>
              <w:bottom w:val="single" w:sz="8" w:color="auto"/>
            </w:tcBorders>
          </w:tcPr>
          <w:p>
            <w:pPr>
              <w:jc w:val="right"/>
              <w:ind w:right="26"/>
              <w:spacing w:after="0" w:line="111" w:lineRule="exact"/>
              <w:rPr>
                <w:sz w:val="20"/>
                <w:szCs w:val="20"/>
                <w:color w:val="auto"/>
              </w:rPr>
            </w:pPr>
            <w:r>
              <w:rPr>
                <w:rFonts w:ascii="Times New Roman" w:cs="Times New Roman" w:eastAsia="Times New Roman" w:hAnsi="Times New Roman"/>
                <w:sz w:val="10"/>
                <w:szCs w:val="10"/>
                <w:b w:val="1"/>
                <w:bCs w:val="1"/>
                <w:color w:val="auto"/>
              </w:rPr>
              <w:t>2025</w:t>
            </w:r>
          </w:p>
        </w:tc>
        <w:tc>
          <w:tcPr>
            <w:tcW w:w="500" w:type="dxa"/>
            <w:vAlign w:val="bottom"/>
            <w:tcBorders>
              <w:bottom w:val="single" w:sz="8" w:color="auto"/>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900" w:type="dxa"/>
            <w:vAlign w:val="bottom"/>
            <w:tcBorders>
              <w:bottom w:val="single" w:sz="8" w:color="auto"/>
            </w:tcBorders>
          </w:tcPr>
          <w:p>
            <w:pPr>
              <w:jc w:val="right"/>
              <w:ind w:right="67"/>
              <w:spacing w:after="0" w:line="111" w:lineRule="exact"/>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Borders>
              <w:bottom w:val="single" w:sz="8" w:color="auto"/>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521"/>
              <w:spacing w:after="0" w:line="111" w:lineRule="exact"/>
              <w:rPr>
                <w:sz w:val="20"/>
                <w:szCs w:val="20"/>
                <w:color w:val="auto"/>
              </w:rPr>
            </w:pPr>
            <w:r>
              <w:rPr>
                <w:rFonts w:ascii="Times New Roman" w:cs="Times New Roman" w:eastAsia="Times New Roman" w:hAnsi="Times New Roman"/>
                <w:sz w:val="10"/>
                <w:szCs w:val="10"/>
                <w:b w:val="1"/>
                <w:bCs w:val="1"/>
                <w:color w:val="auto"/>
              </w:rPr>
              <w:t>2025</w:t>
            </w:r>
          </w:p>
        </w:tc>
        <w:tc>
          <w:tcPr>
            <w:tcW w:w="1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539"/>
              <w:spacing w:after="0" w:line="111" w:lineRule="exact"/>
              <w:rPr>
                <w:sz w:val="20"/>
                <w:szCs w:val="20"/>
                <w:color w:val="auto"/>
              </w:rPr>
            </w:pPr>
            <w:r>
              <w:rPr>
                <w:rFonts w:ascii="Times New Roman" w:cs="Times New Roman" w:eastAsia="Times New Roman" w:hAnsi="Times New Roman"/>
                <w:sz w:val="10"/>
                <w:szCs w:val="10"/>
                <w:b w:val="1"/>
                <w:bCs w:val="1"/>
                <w:color w:val="auto"/>
              </w:rPr>
              <w:t>2024</w:t>
            </w:r>
          </w:p>
        </w:tc>
      </w:tr>
      <w:tr>
        <w:trPr>
          <w:trHeight w:val="129"/>
        </w:trPr>
        <w:tc>
          <w:tcPr>
            <w:tcW w:w="51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Net income (loss)</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(4,305)</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(7,139)</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(12,057)</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(33,543)</w:t>
            </w:r>
          </w:p>
        </w:tc>
      </w:tr>
      <w:tr>
        <w:trPr>
          <w:trHeight w:val="130"/>
        </w:trPr>
        <w:tc>
          <w:tcPr>
            <w:tcW w:w="532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color w:val="auto"/>
              </w:rPr>
              <w:t>Foreign currency translation gain (loss)</w:t>
            </w:r>
          </w:p>
        </w:tc>
        <w:tc>
          <w:tcPr>
            <w:tcW w:w="86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(770)</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1,620</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2,384</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(44)</w:t>
            </w:r>
          </w:p>
        </w:tc>
      </w:tr>
      <w:tr>
        <w:trPr>
          <w:trHeight w:val="130"/>
        </w:trPr>
        <w:tc>
          <w:tcPr>
            <w:tcW w:w="532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Gain (loss) on cash flow hedges</w:t>
            </w: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104</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(171)</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6</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(269)</w:t>
            </w:r>
          </w:p>
        </w:tc>
      </w:tr>
      <w:tr>
        <w:trPr>
          <w:trHeight w:val="130"/>
        </w:trPr>
        <w:tc>
          <w:tcPr>
            <w:tcW w:w="532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color w:val="auto"/>
              </w:rPr>
              <w:t>Other</w:t>
            </w:r>
          </w:p>
        </w:tc>
        <w:tc>
          <w:tcPr>
            <w:tcW w:w="86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53</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50</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162</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158</w:t>
            </w:r>
          </w:p>
        </w:tc>
      </w:tr>
      <w:tr>
        <w:trPr>
          <w:trHeight w:val="120"/>
        </w:trPr>
        <w:tc>
          <w:tcPr>
            <w:tcW w:w="5140" w:type="dxa"/>
            <w:vAlign w:val="bottom"/>
            <w:tcBorders>
              <w:top w:val="single" w:sz="8" w:color="auto"/>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Comprehensive income (loss)</w:t>
            </w:r>
          </w:p>
        </w:tc>
        <w:tc>
          <w:tcPr>
            <w:tcW w:w="18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(4,918)</w:t>
            </w:r>
          </w:p>
        </w:tc>
        <w:tc>
          <w:tcPr>
            <w:tcW w:w="1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(5,640)</w:t>
            </w:r>
          </w:p>
        </w:tc>
        <w:tc>
          <w:tcPr>
            <w:tcW w:w="1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(9,505)</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(33,698)</w:t>
            </w:r>
          </w:p>
        </w:tc>
      </w:tr>
      <w:tr>
        <w:trPr>
          <w:trHeight w:val="130"/>
        </w:trPr>
        <w:tc>
          <w:tcPr>
            <w:tcW w:w="532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color w:val="auto"/>
              </w:rPr>
              <w:t>Less: net income (loss) attributable to noncontrolling interests</w:t>
            </w:r>
          </w:p>
        </w:tc>
        <w:tc>
          <w:tcPr>
            <w:tcW w:w="860" w:type="dxa"/>
            <w:vAlign w:val="bottom"/>
          </w:tcPr>
          <w:p>
            <w:pPr>
              <w:spacing w:after="0"/>
              <w:rPr>
                <w:sz w:val="11"/>
                <w:szCs w:val="11"/>
                <w:color w:val="auto"/>
              </w:rPr>
            </w:pPr>
          </w:p>
        </w:tc>
        <w:tc>
          <w:tcPr>
            <w:tcW w:w="66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(148)</w:t>
            </w:r>
          </w:p>
        </w:tc>
        <w:tc>
          <w:tcPr>
            <w:tcW w:w="900" w:type="dxa"/>
            <w:vAlign w:val="bottom"/>
          </w:tcPr>
          <w:p>
            <w:pPr>
              <w:spacing w:after="0"/>
              <w:rPr>
                <w:sz w:val="11"/>
                <w:szCs w:val="11"/>
                <w:color w:val="auto"/>
              </w:rPr>
            </w:pPr>
          </w:p>
        </w:tc>
        <w:tc>
          <w:tcPr>
            <w:tcW w:w="4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(111)</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(477)</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(481)</w:t>
            </w:r>
          </w:p>
        </w:tc>
      </w:tr>
      <w:tr>
        <w:trPr>
          <w:trHeight w:val="130"/>
        </w:trPr>
        <w:tc>
          <w:tcPr>
            <w:tcW w:w="532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Less: comprehensive income (loss) attributable to noncontrolling interests</w:t>
            </w:r>
          </w:p>
        </w:tc>
        <w:tc>
          <w:tcPr>
            <w:tcW w:w="8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line="130"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5</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9</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w:t>
            </w:r>
          </w:p>
        </w:tc>
      </w:tr>
      <w:tr>
        <w:trPr>
          <w:trHeight w:val="120"/>
        </w:trPr>
        <w:tc>
          <w:tcPr>
            <w:tcW w:w="5140" w:type="dxa"/>
            <w:vAlign w:val="bottom"/>
            <w:tcBorders>
              <w:top w:val="single" w:sz="8" w:color="auto"/>
              <w:bottom w:val="single" w:sz="8" w:color="auto"/>
            </w:tcBorders>
          </w:tcPr>
          <w:p>
            <w:pPr>
              <w:spacing w:after="0" w:line="120" w:lineRule="exact"/>
              <w:rPr>
                <w:sz w:val="20"/>
                <w:szCs w:val="20"/>
                <w:color w:val="auto"/>
              </w:rPr>
            </w:pPr>
            <w:r>
              <w:rPr>
                <w:rFonts w:ascii="Times New Roman" w:cs="Times New Roman" w:eastAsia="Times New Roman" w:hAnsi="Times New Roman"/>
                <w:sz w:val="12"/>
                <w:szCs w:val="12"/>
                <w:color w:val="auto"/>
              </w:rPr>
              <w:t>Comprehensive income (loss)</w:t>
            </w:r>
          </w:p>
        </w:tc>
        <w:tc>
          <w:tcPr>
            <w:tcW w:w="18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ind w:right="74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(4,770)</w:t>
            </w:r>
          </w:p>
        </w:tc>
        <w:tc>
          <w:tcPr>
            <w:tcW w:w="160" w:type="dxa"/>
            <w:vAlign w:val="bottom"/>
          </w:tcPr>
          <w:p>
            <w:pPr>
              <w:spacing w:after="0"/>
              <w:rPr>
                <w:sz w:val="10"/>
                <w:szCs w:val="10"/>
                <w:color w:val="auto"/>
              </w:rPr>
            </w:pPr>
          </w:p>
        </w:tc>
        <w:tc>
          <w:tcPr>
            <w:tcW w:w="90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(5,534)</w:t>
            </w:r>
          </w:p>
        </w:tc>
        <w:tc>
          <w:tcPr>
            <w:tcW w:w="160" w:type="dxa"/>
            <w:vAlign w:val="bottom"/>
          </w:tcPr>
          <w:p>
            <w:pPr>
              <w:spacing w:after="0"/>
              <w:rPr>
                <w:sz w:val="10"/>
                <w:szCs w:val="10"/>
                <w:color w:val="auto"/>
              </w:rPr>
            </w:pPr>
          </w:p>
        </w:tc>
        <w:tc>
          <w:tcPr>
            <w:tcW w:w="320" w:type="dxa"/>
            <w:vAlign w:val="bottom"/>
            <w:tcBorders>
              <w:top w:val="single" w:sz="8" w:color="auto"/>
              <w:bottom w:val="single" w:sz="8" w:color="auto"/>
            </w:tcBorders>
          </w:tcPr>
          <w:p>
            <w:pPr>
              <w:jc w:val="right"/>
              <w:ind w:right="20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(9,037)</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(33,220)</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See accompanying Notes to the Unaudited Consolidated Financial Statements</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246"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READING INTERNATIONAL,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rPr>
          <w:sz w:val="20"/>
          <w:szCs w:val="20"/>
          <w:color w:val="auto"/>
        </w:rPr>
      </w:pPr>
      <w:r>
        <w:rPr>
          <w:rFonts w:ascii="Times New Roman" w:cs="Times New Roman" w:eastAsia="Times New Roman" w:hAnsi="Times New Roman"/>
          <w:sz w:val="12"/>
          <w:szCs w:val="12"/>
          <w:i w:val="1"/>
          <w:iCs w:val="1"/>
          <w:color w:val="auto"/>
        </w:rPr>
        <w:t>(Unaudited; U.S. dollars in thousands)</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0"/>
          <w:szCs w:val="10"/>
          <w:b w:val="1"/>
          <w:bCs w:val="1"/>
          <w:color w:val="auto"/>
        </w:rPr>
        <w:t>Nine Months Ended</w:t>
      </w:r>
    </w:p>
    <w:p>
      <w:pPr>
        <w:spacing w:after="0" w:line="9"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0"/>
          <w:szCs w:val="10"/>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8160" w:type="dxa"/>
            <w:vAlign w:val="bottom"/>
            <w:tcBorders>
              <w:bottom w:val="single" w:sz="8" w:color="auto"/>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880" w:type="dxa"/>
            <w:vAlign w:val="bottom"/>
            <w:tcBorders>
              <w:top w:val="single" w:sz="8" w:color="auto"/>
              <w:bottom w:val="single" w:sz="8" w:color="auto"/>
            </w:tcBorders>
          </w:tcPr>
          <w:p>
            <w:pPr>
              <w:jc w:val="right"/>
              <w:ind w:right="26"/>
              <w:spacing w:after="0" w:line="111" w:lineRule="exact"/>
              <w:rPr>
                <w:sz w:val="20"/>
                <w:szCs w:val="20"/>
                <w:color w:val="auto"/>
              </w:rPr>
            </w:pPr>
            <w:r>
              <w:rPr>
                <w:rFonts w:ascii="Times New Roman" w:cs="Times New Roman" w:eastAsia="Times New Roman" w:hAnsi="Times New Roman"/>
                <w:sz w:val="10"/>
                <w:szCs w:val="10"/>
                <w:b w:val="1"/>
                <w:bCs w:val="1"/>
                <w:color w:val="auto"/>
              </w:rPr>
              <w:t>2025</w:t>
            </w:r>
          </w:p>
        </w:tc>
        <w:tc>
          <w:tcPr>
            <w:tcW w:w="50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bottom w:val="single" w:sz="8" w:color="CCEEFF"/>
            </w:tcBorders>
          </w:tcPr>
          <w:p>
            <w:pPr>
              <w:spacing w:after="0"/>
              <w:rPr>
                <w:sz w:val="9"/>
                <w:szCs w:val="9"/>
                <w:color w:val="auto"/>
              </w:rPr>
            </w:pPr>
          </w:p>
        </w:tc>
        <w:tc>
          <w:tcPr>
            <w:tcW w:w="320" w:type="dxa"/>
            <w:vAlign w:val="bottom"/>
            <w:tcBorders>
              <w:top w:val="single" w:sz="8" w:color="auto"/>
              <w:bottom w:val="single" w:sz="8" w:color="auto"/>
            </w:tcBorders>
          </w:tcPr>
          <w:p>
            <w:pPr>
              <w:spacing w:after="0"/>
              <w:rPr>
                <w:sz w:val="9"/>
                <w:szCs w:val="9"/>
                <w:color w:val="auto"/>
              </w:rPr>
            </w:pPr>
          </w:p>
        </w:tc>
        <w:tc>
          <w:tcPr>
            <w:tcW w:w="1060" w:type="dxa"/>
            <w:vAlign w:val="bottom"/>
            <w:tcBorders>
              <w:top w:val="single" w:sz="8" w:color="auto"/>
              <w:bottom w:val="single" w:sz="8" w:color="auto"/>
            </w:tcBorders>
          </w:tcPr>
          <w:p>
            <w:pPr>
              <w:jc w:val="right"/>
              <w:ind w:right="538"/>
              <w:spacing w:after="0" w:line="111" w:lineRule="exact"/>
              <w:rPr>
                <w:sz w:val="20"/>
                <w:szCs w:val="20"/>
                <w:color w:val="auto"/>
              </w:rPr>
            </w:pPr>
            <w:r>
              <w:rPr>
                <w:rFonts w:ascii="Times New Roman" w:cs="Times New Roman" w:eastAsia="Times New Roman" w:hAnsi="Times New Roman"/>
                <w:sz w:val="10"/>
                <w:szCs w:val="10"/>
                <w:b w:val="1"/>
                <w:bCs w:val="1"/>
                <w:color w:val="auto"/>
              </w:rPr>
              <w:t>2024</w:t>
            </w: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Operating Activities</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30"/>
        </w:trPr>
        <w:tc>
          <w:tcPr>
            <w:tcW w:w="816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Net income (loss)</w:t>
            </w:r>
          </w:p>
        </w:tc>
        <w:tc>
          <w:tcPr>
            <w:tcW w:w="1100" w:type="dxa"/>
            <w:vAlign w:val="bottom"/>
            <w:gridSpan w:val="2"/>
          </w:tcPr>
          <w:p>
            <w:pPr>
              <w:jc w:val="right"/>
              <w:ind w:right="766"/>
              <w:spacing w:after="0" w:line="13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(12,057)</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(33,543)</w:t>
            </w:r>
          </w:p>
        </w:tc>
      </w:tr>
      <w:tr>
        <w:trPr>
          <w:trHeight w:val="130"/>
        </w:trPr>
        <w:tc>
          <w:tcPr>
            <w:tcW w:w="8160" w:type="dxa"/>
            <w:vAlign w:val="bottom"/>
            <w:shd w:val="clear" w:color="auto" w:fill="CCEEFF"/>
          </w:tcPr>
          <w:p>
            <w:pPr>
              <w:ind w:left="60"/>
              <w:spacing w:after="0" w:line="130" w:lineRule="exact"/>
              <w:rPr>
                <w:sz w:val="20"/>
                <w:szCs w:val="20"/>
                <w:color w:val="auto"/>
              </w:rPr>
            </w:pPr>
            <w:r>
              <w:rPr>
                <w:rFonts w:ascii="Times New Roman" w:cs="Times New Roman" w:eastAsia="Times New Roman" w:hAnsi="Times New Roman"/>
                <w:sz w:val="12"/>
                <w:szCs w:val="12"/>
                <w:i w:val="1"/>
                <w:iCs w:val="1"/>
                <w:color w:val="auto"/>
              </w:rPr>
              <w:t>Adjustments to reconcile net income (loss) to net cash provided by operating activities:</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30"/>
        </w:trPr>
        <w:tc>
          <w:tcPr>
            <w:tcW w:w="8160" w:type="dxa"/>
            <w:vAlign w:val="bottom"/>
          </w:tcPr>
          <w:p>
            <w:pPr>
              <w:ind w:left="140"/>
              <w:spacing w:after="0" w:line="130" w:lineRule="exact"/>
              <w:rPr>
                <w:sz w:val="20"/>
                <w:szCs w:val="20"/>
                <w:color w:val="auto"/>
              </w:rPr>
            </w:pPr>
            <w:r>
              <w:rPr>
                <w:rFonts w:ascii="Times New Roman" w:cs="Times New Roman" w:eastAsia="Times New Roman" w:hAnsi="Times New Roman"/>
                <w:sz w:val="12"/>
                <w:szCs w:val="12"/>
                <w:color w:val="auto"/>
              </w:rPr>
              <w:t>Equity earnings of unconsolidated joint ventures</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(428)</w:t>
            </w:r>
          </w:p>
        </w:tc>
        <w:tc>
          <w:tcPr>
            <w:tcW w:w="320" w:type="dxa"/>
            <w:vAlign w:val="bottom"/>
          </w:tcPr>
          <w:p>
            <w:pPr>
              <w:spacing w:after="0"/>
              <w:rPr>
                <w:sz w:val="11"/>
                <w:szCs w:val="11"/>
                <w:color w:val="auto"/>
              </w:rPr>
            </w:pPr>
          </w:p>
        </w:tc>
        <w:tc>
          <w:tcPr>
            <w:tcW w:w="10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(164)</w:t>
            </w:r>
          </w:p>
        </w:tc>
      </w:tr>
      <w:tr>
        <w:trPr>
          <w:trHeight w:val="130"/>
        </w:trPr>
        <w:tc>
          <w:tcPr>
            <w:tcW w:w="81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2"/>
                <w:szCs w:val="12"/>
                <w:color w:val="auto"/>
              </w:rPr>
              <w:t>Distributions of earnings from unconsolidated joint ventures</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337</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695</w:t>
            </w:r>
          </w:p>
        </w:tc>
      </w:tr>
      <w:tr>
        <w:trPr>
          <w:trHeight w:val="130"/>
        </w:trPr>
        <w:tc>
          <w:tcPr>
            <w:tcW w:w="8160" w:type="dxa"/>
            <w:vAlign w:val="bottom"/>
          </w:tcPr>
          <w:p>
            <w:pPr>
              <w:ind w:left="140"/>
              <w:spacing w:after="0" w:line="130" w:lineRule="exact"/>
              <w:rPr>
                <w:sz w:val="20"/>
                <w:szCs w:val="20"/>
                <w:color w:val="auto"/>
              </w:rPr>
            </w:pPr>
            <w:r>
              <w:rPr>
                <w:rFonts w:ascii="Times New Roman" w:cs="Times New Roman" w:eastAsia="Times New Roman" w:hAnsi="Times New Roman"/>
                <w:sz w:val="12"/>
                <w:szCs w:val="12"/>
                <w:color w:val="auto"/>
              </w:rPr>
              <w:t>(Gain) loss recognized on foreign currency transactions</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2,200</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(83)</w:t>
            </w:r>
          </w:p>
        </w:tc>
      </w:tr>
      <w:tr>
        <w:trPr>
          <w:trHeight w:val="130"/>
        </w:trPr>
        <w:tc>
          <w:tcPr>
            <w:tcW w:w="81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2"/>
                <w:szCs w:val="12"/>
                <w:color w:val="auto"/>
              </w:rPr>
              <w:t>(Gain) loss on sale of assets</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(8,332)</w:t>
            </w: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1,324</w:t>
            </w:r>
          </w:p>
        </w:tc>
      </w:tr>
      <w:tr>
        <w:trPr>
          <w:trHeight w:val="130"/>
        </w:trPr>
        <w:tc>
          <w:tcPr>
            <w:tcW w:w="8160" w:type="dxa"/>
            <w:vAlign w:val="bottom"/>
          </w:tcPr>
          <w:p>
            <w:pPr>
              <w:ind w:left="140"/>
              <w:spacing w:after="0" w:line="130" w:lineRule="exact"/>
              <w:rPr>
                <w:sz w:val="20"/>
                <w:szCs w:val="20"/>
                <w:color w:val="auto"/>
              </w:rPr>
            </w:pPr>
            <w:r>
              <w:rPr>
                <w:rFonts w:ascii="Times New Roman" w:cs="Times New Roman" w:eastAsia="Times New Roman" w:hAnsi="Times New Roman"/>
                <w:sz w:val="12"/>
                <w:szCs w:val="12"/>
                <w:color w:val="auto"/>
              </w:rPr>
              <w:t>Amortization of operating leases</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16,648</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15,500</w:t>
            </w:r>
          </w:p>
        </w:tc>
      </w:tr>
      <w:tr>
        <w:trPr>
          <w:trHeight w:val="130"/>
        </w:trPr>
        <w:tc>
          <w:tcPr>
            <w:tcW w:w="81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2"/>
                <w:szCs w:val="12"/>
                <w:color w:val="auto"/>
              </w:rPr>
              <w:t>Amortization of finance leases</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31</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31</w:t>
            </w:r>
          </w:p>
        </w:tc>
      </w:tr>
      <w:tr>
        <w:trPr>
          <w:trHeight w:val="130"/>
        </w:trPr>
        <w:tc>
          <w:tcPr>
            <w:tcW w:w="8160" w:type="dxa"/>
            <w:vAlign w:val="bottom"/>
          </w:tcPr>
          <w:p>
            <w:pPr>
              <w:ind w:left="140"/>
              <w:spacing w:after="0" w:line="130" w:lineRule="exact"/>
              <w:rPr>
                <w:sz w:val="20"/>
                <w:szCs w:val="20"/>
                <w:color w:val="auto"/>
              </w:rPr>
            </w:pPr>
            <w:r>
              <w:rPr>
                <w:rFonts w:ascii="Times New Roman" w:cs="Times New Roman" w:eastAsia="Times New Roman" w:hAnsi="Times New Roman"/>
                <w:sz w:val="12"/>
                <w:szCs w:val="12"/>
                <w:color w:val="auto"/>
              </w:rPr>
              <w:t>Change in operating lease liabilities</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(16,126)</w:t>
            </w:r>
          </w:p>
        </w:tc>
        <w:tc>
          <w:tcPr>
            <w:tcW w:w="320" w:type="dxa"/>
            <w:vAlign w:val="bottom"/>
          </w:tcPr>
          <w:p>
            <w:pPr>
              <w:spacing w:after="0"/>
              <w:rPr>
                <w:sz w:val="11"/>
                <w:szCs w:val="11"/>
                <w:color w:val="auto"/>
              </w:rPr>
            </w:pPr>
          </w:p>
        </w:tc>
        <w:tc>
          <w:tcPr>
            <w:tcW w:w="10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(16,212)</w:t>
            </w:r>
          </w:p>
        </w:tc>
      </w:tr>
      <w:tr>
        <w:trPr>
          <w:trHeight w:val="130"/>
        </w:trPr>
        <w:tc>
          <w:tcPr>
            <w:tcW w:w="81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2"/>
                <w:szCs w:val="12"/>
                <w:color w:val="auto"/>
              </w:rPr>
              <w:t>Change in net deferred tax assets</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(534)</w:t>
            </w: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71</w:t>
            </w:r>
          </w:p>
        </w:tc>
      </w:tr>
      <w:tr>
        <w:trPr>
          <w:trHeight w:val="130"/>
        </w:trPr>
        <w:tc>
          <w:tcPr>
            <w:tcW w:w="8160" w:type="dxa"/>
            <w:vAlign w:val="bottom"/>
          </w:tcPr>
          <w:p>
            <w:pPr>
              <w:ind w:left="140"/>
              <w:spacing w:after="0" w:line="130"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9,992</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12,142</w:t>
            </w:r>
          </w:p>
        </w:tc>
      </w:tr>
      <w:tr>
        <w:trPr>
          <w:trHeight w:val="130"/>
        </w:trPr>
        <w:tc>
          <w:tcPr>
            <w:tcW w:w="81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2"/>
                <w:szCs w:val="12"/>
                <w:color w:val="auto"/>
              </w:rPr>
              <w:t>Other amortization</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891</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1,107</w:t>
            </w:r>
          </w:p>
        </w:tc>
      </w:tr>
      <w:tr>
        <w:trPr>
          <w:trHeight w:val="130"/>
        </w:trPr>
        <w:tc>
          <w:tcPr>
            <w:tcW w:w="8160" w:type="dxa"/>
            <w:vAlign w:val="bottom"/>
          </w:tcPr>
          <w:p>
            <w:pPr>
              <w:ind w:left="140"/>
              <w:spacing w:after="0" w:line="130" w:lineRule="exact"/>
              <w:rPr>
                <w:sz w:val="20"/>
                <w:szCs w:val="20"/>
                <w:color w:val="auto"/>
              </w:rPr>
            </w:pPr>
            <w:r>
              <w:rPr>
                <w:rFonts w:ascii="Times New Roman" w:cs="Times New Roman" w:eastAsia="Times New Roman" w:hAnsi="Times New Roman"/>
                <w:sz w:val="12"/>
                <w:szCs w:val="12"/>
                <w:color w:val="auto"/>
              </w:rPr>
              <w:t>Stock based compensation expense</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1,521</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1,737</w:t>
            </w:r>
          </w:p>
        </w:tc>
      </w:tr>
      <w:tr>
        <w:trPr>
          <w:trHeight w:val="130"/>
        </w:trPr>
        <w:tc>
          <w:tcPr>
            <w:tcW w:w="81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2"/>
                <w:szCs w:val="12"/>
                <w:i w:val="1"/>
                <w:iCs w:val="1"/>
                <w:color w:val="auto"/>
              </w:rPr>
              <w:t>Net changes in operating assets and liabilities:</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30"/>
        </w:trPr>
        <w:tc>
          <w:tcPr>
            <w:tcW w:w="8160" w:type="dxa"/>
            <w:vAlign w:val="bottom"/>
          </w:tcPr>
          <w:p>
            <w:pPr>
              <w:ind w:left="220"/>
              <w:spacing w:after="0" w:line="130" w:lineRule="exact"/>
              <w:rPr>
                <w:sz w:val="20"/>
                <w:szCs w:val="20"/>
                <w:color w:val="auto"/>
              </w:rPr>
            </w:pPr>
            <w:r>
              <w:rPr>
                <w:rFonts w:ascii="Times New Roman" w:cs="Times New Roman" w:eastAsia="Times New Roman" w:hAnsi="Times New Roman"/>
                <w:sz w:val="12"/>
                <w:szCs w:val="12"/>
                <w:color w:val="auto"/>
              </w:rPr>
              <w:t>Receivables</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588</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2,107</w:t>
            </w:r>
          </w:p>
        </w:tc>
      </w:tr>
      <w:tr>
        <w:trPr>
          <w:trHeight w:val="130"/>
        </w:trPr>
        <w:tc>
          <w:tcPr>
            <w:tcW w:w="8160" w:type="dxa"/>
            <w:vAlign w:val="bottom"/>
            <w:shd w:val="clear" w:color="auto" w:fill="CCEEFF"/>
          </w:tcPr>
          <w:p>
            <w:pPr>
              <w:ind w:left="220"/>
              <w:spacing w:after="0" w:line="130" w:lineRule="exact"/>
              <w:rPr>
                <w:sz w:val="20"/>
                <w:szCs w:val="20"/>
                <w:color w:val="auto"/>
              </w:rPr>
            </w:pPr>
            <w:r>
              <w:rPr>
                <w:rFonts w:ascii="Times New Roman" w:cs="Times New Roman" w:eastAsia="Times New Roman" w:hAnsi="Times New Roman"/>
                <w:sz w:val="12"/>
                <w:szCs w:val="12"/>
                <w:color w:val="auto"/>
              </w:rPr>
              <w:t>Prepaid and other assets</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(5,090)</w:t>
            </w: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(26)</w:t>
            </w:r>
          </w:p>
        </w:tc>
      </w:tr>
      <w:tr>
        <w:trPr>
          <w:trHeight w:val="130"/>
        </w:trPr>
        <w:tc>
          <w:tcPr>
            <w:tcW w:w="8160" w:type="dxa"/>
            <w:vAlign w:val="bottom"/>
          </w:tcPr>
          <w:p>
            <w:pPr>
              <w:ind w:left="220"/>
              <w:spacing w:after="0" w:line="130" w:lineRule="exact"/>
              <w:rPr>
                <w:sz w:val="20"/>
                <w:szCs w:val="20"/>
                <w:color w:val="auto"/>
              </w:rPr>
            </w:pPr>
            <w:r>
              <w:rPr>
                <w:rFonts w:ascii="Times New Roman" w:cs="Times New Roman" w:eastAsia="Times New Roman" w:hAnsi="Times New Roman"/>
                <w:sz w:val="12"/>
                <w:szCs w:val="12"/>
                <w:color w:val="auto"/>
              </w:rPr>
              <w:t>Payments for accrued pension</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(513)</w:t>
            </w:r>
          </w:p>
        </w:tc>
        <w:tc>
          <w:tcPr>
            <w:tcW w:w="320" w:type="dxa"/>
            <w:vAlign w:val="bottom"/>
          </w:tcPr>
          <w:p>
            <w:pPr>
              <w:spacing w:after="0"/>
              <w:rPr>
                <w:sz w:val="11"/>
                <w:szCs w:val="11"/>
                <w:color w:val="auto"/>
              </w:rPr>
            </w:pPr>
          </w:p>
        </w:tc>
        <w:tc>
          <w:tcPr>
            <w:tcW w:w="10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(513)</w:t>
            </w:r>
          </w:p>
        </w:tc>
      </w:tr>
      <w:tr>
        <w:trPr>
          <w:trHeight w:val="130"/>
        </w:trPr>
        <w:tc>
          <w:tcPr>
            <w:tcW w:w="8160" w:type="dxa"/>
            <w:vAlign w:val="bottom"/>
            <w:shd w:val="clear" w:color="auto" w:fill="CCEEFF"/>
          </w:tcPr>
          <w:p>
            <w:pPr>
              <w:ind w:left="220"/>
              <w:spacing w:after="0" w:line="130" w:lineRule="exact"/>
              <w:rPr>
                <w:sz w:val="20"/>
                <w:szCs w:val="20"/>
                <w:color w:val="auto"/>
              </w:rPr>
            </w:pPr>
            <w:r>
              <w:rPr>
                <w:rFonts w:ascii="Times New Roman" w:cs="Times New Roman" w:eastAsia="Times New Roman" w:hAnsi="Times New Roman"/>
                <w:sz w:val="12"/>
                <w:szCs w:val="12"/>
                <w:color w:val="auto"/>
              </w:rPr>
              <w:t>Accounts payable and accrued expenses</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8,486</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7,151</w:t>
            </w:r>
          </w:p>
        </w:tc>
      </w:tr>
      <w:tr>
        <w:trPr>
          <w:trHeight w:val="130"/>
        </w:trPr>
        <w:tc>
          <w:tcPr>
            <w:tcW w:w="8160" w:type="dxa"/>
            <w:vAlign w:val="bottom"/>
          </w:tcPr>
          <w:p>
            <w:pPr>
              <w:ind w:left="220"/>
              <w:spacing w:after="0" w:line="130" w:lineRule="exact"/>
              <w:rPr>
                <w:sz w:val="20"/>
                <w:szCs w:val="20"/>
                <w:color w:val="auto"/>
              </w:rPr>
            </w:pPr>
            <w:r>
              <w:rPr>
                <w:rFonts w:ascii="Times New Roman" w:cs="Times New Roman" w:eastAsia="Times New Roman" w:hAnsi="Times New Roman"/>
                <w:sz w:val="12"/>
                <w:szCs w:val="12"/>
                <w:color w:val="auto"/>
              </w:rPr>
              <w:t>Film rent payable</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(2,474)</w:t>
            </w:r>
          </w:p>
        </w:tc>
        <w:tc>
          <w:tcPr>
            <w:tcW w:w="320" w:type="dxa"/>
            <w:vAlign w:val="bottom"/>
          </w:tcPr>
          <w:p>
            <w:pPr>
              <w:spacing w:after="0"/>
              <w:rPr>
                <w:sz w:val="11"/>
                <w:szCs w:val="11"/>
                <w:color w:val="auto"/>
              </w:rPr>
            </w:pPr>
          </w:p>
        </w:tc>
        <w:tc>
          <w:tcPr>
            <w:tcW w:w="10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(2,420)</w:t>
            </w:r>
          </w:p>
        </w:tc>
      </w:tr>
      <w:tr>
        <w:trPr>
          <w:trHeight w:val="130"/>
        </w:trPr>
        <w:tc>
          <w:tcPr>
            <w:tcW w:w="8160" w:type="dxa"/>
            <w:vAlign w:val="bottom"/>
            <w:shd w:val="clear" w:color="auto" w:fill="CCEEFF"/>
          </w:tcPr>
          <w:p>
            <w:pPr>
              <w:ind w:left="220"/>
              <w:spacing w:after="0" w:line="130" w:lineRule="exact"/>
              <w:rPr>
                <w:sz w:val="20"/>
                <w:szCs w:val="20"/>
                <w:color w:val="auto"/>
              </w:rPr>
            </w:pPr>
            <w:r>
              <w:rPr>
                <w:rFonts w:ascii="Times New Roman" w:cs="Times New Roman" w:eastAsia="Times New Roman" w:hAnsi="Times New Roman"/>
                <w:sz w:val="12"/>
                <w:szCs w:val="12"/>
                <w:color w:val="auto"/>
              </w:rPr>
              <w:t>Taxes payable</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(29)</w:t>
            </w: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(1,165)</w:t>
            </w:r>
          </w:p>
        </w:tc>
      </w:tr>
      <w:tr>
        <w:trPr>
          <w:trHeight w:val="130"/>
        </w:trPr>
        <w:tc>
          <w:tcPr>
            <w:tcW w:w="8160" w:type="dxa"/>
            <w:vAlign w:val="bottom"/>
          </w:tcPr>
          <w:p>
            <w:pPr>
              <w:ind w:left="220"/>
              <w:spacing w:after="0" w:line="130" w:lineRule="exact"/>
              <w:rPr>
                <w:sz w:val="20"/>
                <w:szCs w:val="20"/>
                <w:color w:val="auto"/>
              </w:rPr>
            </w:pPr>
            <w:r>
              <w:rPr>
                <w:rFonts w:ascii="Times New Roman" w:cs="Times New Roman" w:eastAsia="Times New Roman" w:hAnsi="Times New Roman"/>
                <w:sz w:val="12"/>
                <w:szCs w:val="12"/>
                <w:color w:val="auto"/>
              </w:rPr>
              <w:t>Deferred revenue and other liabilities</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(967)</w:t>
            </w:r>
          </w:p>
        </w:tc>
        <w:tc>
          <w:tcPr>
            <w:tcW w:w="320" w:type="dxa"/>
            <w:vAlign w:val="bottom"/>
          </w:tcPr>
          <w:p>
            <w:pPr>
              <w:spacing w:after="0"/>
              <w:rPr>
                <w:sz w:val="11"/>
                <w:szCs w:val="11"/>
                <w:color w:val="auto"/>
              </w:rPr>
            </w:pPr>
          </w:p>
        </w:tc>
        <w:tc>
          <w:tcPr>
            <w:tcW w:w="10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443</w:t>
            </w:r>
          </w:p>
        </w:tc>
      </w:tr>
      <w:tr>
        <w:trPr>
          <w:trHeight w:val="120"/>
        </w:trPr>
        <w:tc>
          <w:tcPr>
            <w:tcW w:w="8160" w:type="dxa"/>
            <w:vAlign w:val="bottom"/>
            <w:tcBorders>
              <w:top w:val="single" w:sz="8" w:color="auto"/>
              <w:bottom w:val="single" w:sz="8" w:color="auto"/>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(5,856)</w:t>
            </w:r>
          </w:p>
        </w:tc>
        <w:tc>
          <w:tcPr>
            <w:tcW w:w="1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spacing w:after="0"/>
              <w:rPr>
                <w:sz w:val="10"/>
                <w:szCs w:val="10"/>
                <w:color w:val="auto"/>
              </w:rPr>
            </w:pPr>
          </w:p>
        </w:tc>
        <w:tc>
          <w:tcPr>
            <w:tcW w:w="10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(11,818)</w:t>
            </w:r>
          </w:p>
        </w:tc>
      </w:tr>
      <w:tr>
        <w:trPr>
          <w:trHeight w:val="120"/>
        </w:trPr>
        <w:tc>
          <w:tcPr>
            <w:tcW w:w="8160" w:type="dxa"/>
            <w:vAlign w:val="bottom"/>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Investing Activities</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30"/>
        </w:trPr>
        <w:tc>
          <w:tcPr>
            <w:tcW w:w="81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2"/>
                <w:szCs w:val="12"/>
                <w:color w:val="auto"/>
              </w:rPr>
              <w:t>Purchases of and additions to operating and investment properties</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(1,176)</w:t>
            </w: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(4,571)</w:t>
            </w:r>
          </w:p>
        </w:tc>
      </w:tr>
      <w:tr>
        <w:trPr>
          <w:trHeight w:val="130"/>
        </w:trPr>
        <w:tc>
          <w:tcPr>
            <w:tcW w:w="8160" w:type="dxa"/>
            <w:vAlign w:val="bottom"/>
          </w:tcPr>
          <w:p>
            <w:pPr>
              <w:ind w:left="140"/>
              <w:spacing w:after="0" w:line="130" w:lineRule="exact"/>
              <w:rPr>
                <w:sz w:val="20"/>
                <w:szCs w:val="20"/>
                <w:color w:val="auto"/>
              </w:rPr>
            </w:pPr>
            <w:r>
              <w:rPr>
                <w:rFonts w:ascii="Times New Roman" w:cs="Times New Roman" w:eastAsia="Times New Roman" w:hAnsi="Times New Roman"/>
                <w:sz w:val="12"/>
                <w:szCs w:val="12"/>
                <w:color w:val="auto"/>
              </w:rPr>
              <w:t>Contributions to unconsolidated joint ventures</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0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(30)</w:t>
            </w:r>
          </w:p>
        </w:tc>
      </w:tr>
      <w:tr>
        <w:trPr>
          <w:trHeight w:val="130"/>
        </w:trPr>
        <w:tc>
          <w:tcPr>
            <w:tcW w:w="8160" w:type="dxa"/>
            <w:vAlign w:val="bottom"/>
            <w:tcBorders>
              <w:bottom w:val="single" w:sz="8" w:color="auto"/>
            </w:tcBorders>
            <w:shd w:val="clear" w:color="auto" w:fill="CCEEFF"/>
          </w:tcPr>
          <w:p>
            <w:pPr>
              <w:ind w:left="140"/>
              <w:spacing w:after="0" w:line="130" w:lineRule="exact"/>
              <w:rPr>
                <w:sz w:val="20"/>
                <w:szCs w:val="20"/>
                <w:color w:val="auto"/>
              </w:rPr>
            </w:pPr>
            <w:r>
              <w:rPr>
                <w:rFonts w:ascii="Times New Roman" w:cs="Times New Roman" w:eastAsia="Times New Roman" w:hAnsi="Times New Roman"/>
                <w:sz w:val="12"/>
                <w:szCs w:val="12"/>
                <w:color w:val="auto"/>
              </w:rPr>
              <w:t>Proceeds from sale of assets</w:t>
            </w:r>
          </w:p>
        </w:tc>
        <w:tc>
          <w:tcPr>
            <w:tcW w:w="22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38,498</w:t>
            </w:r>
          </w:p>
        </w:tc>
        <w:tc>
          <w:tcPr>
            <w:tcW w:w="16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9,590</w:t>
            </w:r>
          </w:p>
        </w:tc>
      </w:tr>
      <w:tr>
        <w:trPr>
          <w:trHeight w:val="120"/>
        </w:trPr>
        <w:tc>
          <w:tcPr>
            <w:tcW w:w="8160" w:type="dxa"/>
            <w:vAlign w:val="bottom"/>
            <w:tcBorders>
              <w:bottom w:val="single" w:sz="8" w:color="auto"/>
            </w:tcBorders>
          </w:tcPr>
          <w:p>
            <w:pPr>
              <w:spacing w:after="0" w:line="120" w:lineRule="exact"/>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22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37,322</w:t>
            </w:r>
          </w:p>
        </w:tc>
        <w:tc>
          <w:tcPr>
            <w:tcW w:w="16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4,989</w:t>
            </w:r>
          </w:p>
        </w:tc>
      </w:tr>
      <w:tr>
        <w:trPr>
          <w:trHeight w:val="120"/>
        </w:trPr>
        <w:tc>
          <w:tcPr>
            <w:tcW w:w="816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Financing Activities</w:t>
            </w: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130"/>
        </w:trPr>
        <w:tc>
          <w:tcPr>
            <w:tcW w:w="8160" w:type="dxa"/>
            <w:vAlign w:val="bottom"/>
          </w:tcPr>
          <w:p>
            <w:pPr>
              <w:ind w:left="140"/>
              <w:spacing w:after="0" w:line="130" w:lineRule="exact"/>
              <w:rPr>
                <w:sz w:val="20"/>
                <w:szCs w:val="20"/>
                <w:color w:val="auto"/>
              </w:rPr>
            </w:pPr>
            <w:r>
              <w:rPr>
                <w:rFonts w:ascii="Times New Roman" w:cs="Times New Roman" w:eastAsia="Times New Roman" w:hAnsi="Times New Roman"/>
                <w:sz w:val="12"/>
                <w:szCs w:val="12"/>
                <w:color w:val="auto"/>
              </w:rPr>
              <w:t>Repayment of borrowings</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(35,029)</w:t>
            </w:r>
          </w:p>
        </w:tc>
        <w:tc>
          <w:tcPr>
            <w:tcW w:w="320" w:type="dxa"/>
            <w:vAlign w:val="bottom"/>
          </w:tcPr>
          <w:p>
            <w:pPr>
              <w:spacing w:after="0"/>
              <w:rPr>
                <w:sz w:val="11"/>
                <w:szCs w:val="11"/>
                <w:color w:val="auto"/>
              </w:rPr>
            </w:pPr>
          </w:p>
        </w:tc>
        <w:tc>
          <w:tcPr>
            <w:tcW w:w="10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(13,381)</w:t>
            </w:r>
          </w:p>
        </w:tc>
      </w:tr>
      <w:tr>
        <w:trPr>
          <w:trHeight w:val="130"/>
        </w:trPr>
        <w:tc>
          <w:tcPr>
            <w:tcW w:w="81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2"/>
                <w:szCs w:val="12"/>
                <w:color w:val="auto"/>
              </w:rPr>
              <w:t>Repayment of finance lease principal</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(32)</w:t>
            </w: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(30)</w:t>
            </w:r>
          </w:p>
        </w:tc>
      </w:tr>
      <w:tr>
        <w:trPr>
          <w:trHeight w:val="130"/>
        </w:trPr>
        <w:tc>
          <w:tcPr>
            <w:tcW w:w="8160" w:type="dxa"/>
            <w:vAlign w:val="bottom"/>
          </w:tcPr>
          <w:p>
            <w:pPr>
              <w:ind w:left="140"/>
              <w:spacing w:after="0" w:line="130" w:lineRule="exact"/>
              <w:rPr>
                <w:sz w:val="20"/>
                <w:szCs w:val="20"/>
                <w:color w:val="auto"/>
              </w:rPr>
            </w:pPr>
            <w:r>
              <w:rPr>
                <w:rFonts w:ascii="Times New Roman" w:cs="Times New Roman" w:eastAsia="Times New Roman" w:hAnsi="Times New Roman"/>
                <w:sz w:val="12"/>
                <w:szCs w:val="12"/>
                <w:color w:val="auto"/>
              </w:rPr>
              <w:t>Proceeds from borrowings</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0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16,027</w:t>
            </w:r>
          </w:p>
        </w:tc>
      </w:tr>
      <w:tr>
        <w:trPr>
          <w:trHeight w:val="130"/>
        </w:trPr>
        <w:tc>
          <w:tcPr>
            <w:tcW w:w="81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2"/>
                <w:szCs w:val="12"/>
                <w:color w:val="auto"/>
              </w:rPr>
              <w:t>Capitalized borrowing costs</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(872)</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(483)</w:t>
            </w:r>
          </w:p>
        </w:tc>
      </w:tr>
      <w:tr>
        <w:trPr>
          <w:trHeight w:val="130"/>
        </w:trPr>
        <w:tc>
          <w:tcPr>
            <w:tcW w:w="8160" w:type="dxa"/>
            <w:vAlign w:val="bottom"/>
          </w:tcPr>
          <w:p>
            <w:pPr>
              <w:ind w:left="140"/>
              <w:spacing w:after="0" w:line="130" w:lineRule="exact"/>
              <w:rPr>
                <w:sz w:val="20"/>
                <w:szCs w:val="20"/>
                <w:color w:val="auto"/>
              </w:rPr>
            </w:pPr>
            <w:r>
              <w:rPr>
                <w:rFonts w:ascii="Times New Roman" w:cs="Times New Roman" w:eastAsia="Times New Roman" w:hAnsi="Times New Roman"/>
                <w:sz w:val="12"/>
                <w:szCs w:val="12"/>
                <w:color w:val="auto"/>
              </w:rPr>
              <w:t>(Cash paid) proceeds from the settlement of employee share transactions</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(182)</w:t>
            </w:r>
          </w:p>
        </w:tc>
        <w:tc>
          <w:tcPr>
            <w:tcW w:w="320" w:type="dxa"/>
            <w:vAlign w:val="bottom"/>
          </w:tcPr>
          <w:p>
            <w:pPr>
              <w:spacing w:after="0"/>
              <w:rPr>
                <w:sz w:val="11"/>
                <w:szCs w:val="11"/>
                <w:color w:val="auto"/>
              </w:rPr>
            </w:pPr>
          </w:p>
        </w:tc>
        <w:tc>
          <w:tcPr>
            <w:tcW w:w="10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(6)</w:t>
            </w:r>
          </w:p>
        </w:tc>
      </w:tr>
      <w:tr>
        <w:trPr>
          <w:trHeight w:val="130"/>
        </w:trPr>
        <w:tc>
          <w:tcPr>
            <w:tcW w:w="81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2"/>
                <w:szCs w:val="12"/>
                <w:color w:val="auto"/>
              </w:rPr>
              <w:t>Noncontrolling interest distributions</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(57)</w:t>
            </w: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r>
      <w:tr>
        <w:trPr>
          <w:trHeight w:val="120"/>
        </w:trPr>
        <w:tc>
          <w:tcPr>
            <w:tcW w:w="8160" w:type="dxa"/>
            <w:vAlign w:val="bottom"/>
            <w:tcBorders>
              <w:top w:val="single" w:sz="8" w:color="auto"/>
              <w:bottom w:val="single" w:sz="8" w:color="auto"/>
            </w:tcBorders>
          </w:tcPr>
          <w:p>
            <w:pPr>
              <w:spacing w:after="0" w:line="120" w:lineRule="exact"/>
              <w:rPr>
                <w:sz w:val="20"/>
                <w:szCs w:val="20"/>
                <w:color w:val="auto"/>
              </w:rPr>
            </w:pPr>
            <w:r>
              <w:rPr>
                <w:rFonts w:ascii="Times New Roman" w:cs="Times New Roman" w:eastAsia="Times New Roman" w:hAnsi="Times New Roman"/>
                <w:sz w:val="12"/>
                <w:szCs w:val="12"/>
                <w:color w:val="auto"/>
              </w:rPr>
              <w:t>Net cash provided by (used in) financing activities</w:t>
            </w:r>
          </w:p>
        </w:tc>
        <w:tc>
          <w:tcPr>
            <w:tcW w:w="220" w:type="dxa"/>
            <w:vAlign w:val="bottom"/>
            <w:tcBorders>
              <w:bottom w:val="single" w:sz="8" w:color="CCEEFF"/>
            </w:tcBorders>
          </w:tcPr>
          <w:p>
            <w:pPr>
              <w:spacing w:after="0"/>
              <w:rPr>
                <w:sz w:val="10"/>
                <w:szCs w:val="10"/>
                <w:color w:val="auto"/>
              </w:rPr>
            </w:pPr>
          </w:p>
        </w:tc>
        <w:tc>
          <w:tcPr>
            <w:tcW w:w="8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(36,172)</w:t>
            </w:r>
          </w:p>
        </w:tc>
        <w:tc>
          <w:tcPr>
            <w:tcW w:w="160" w:type="dxa"/>
            <w:vAlign w:val="bottom"/>
            <w:tcBorders>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06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2,127</w:t>
            </w:r>
          </w:p>
        </w:tc>
      </w:tr>
      <w:tr>
        <w:trPr>
          <w:trHeight w:val="120"/>
        </w:trPr>
        <w:tc>
          <w:tcPr>
            <w:tcW w:w="816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Effect of exchange rate on cash and restricted cash</w:t>
            </w: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172</w:t>
            </w: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744</w:t>
            </w:r>
          </w:p>
        </w:tc>
      </w:tr>
      <w:tr>
        <w:trPr>
          <w:trHeight w:val="130"/>
        </w:trPr>
        <w:tc>
          <w:tcPr>
            <w:tcW w:w="8160" w:type="dxa"/>
            <w:vAlign w:val="bottom"/>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Net increase (decrease) in cash and cash equivalents and restricted cash</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(4,534)</w:t>
            </w:r>
          </w:p>
        </w:tc>
        <w:tc>
          <w:tcPr>
            <w:tcW w:w="320" w:type="dxa"/>
            <w:vAlign w:val="bottom"/>
          </w:tcPr>
          <w:p>
            <w:pPr>
              <w:spacing w:after="0"/>
              <w:rPr>
                <w:sz w:val="11"/>
                <w:szCs w:val="11"/>
                <w:color w:val="auto"/>
              </w:rPr>
            </w:pPr>
          </w:p>
        </w:tc>
        <w:tc>
          <w:tcPr>
            <w:tcW w:w="10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(3,958)</w:t>
            </w:r>
          </w:p>
        </w:tc>
      </w:tr>
      <w:tr>
        <w:trPr>
          <w:trHeight w:val="130"/>
        </w:trPr>
        <w:tc>
          <w:tcPr>
            <w:tcW w:w="8160" w:type="dxa"/>
            <w:vAlign w:val="bottom"/>
            <w:tcBorders>
              <w:bottom w:val="single" w:sz="8" w:color="auto"/>
            </w:tcBorders>
            <w:shd w:val="clear" w:color="auto" w:fill="CCEEFF"/>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Cash and cash equivalents and restricted cash at the beginning of the period</w:t>
            </w:r>
          </w:p>
        </w:tc>
        <w:tc>
          <w:tcPr>
            <w:tcW w:w="22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15,082</w:t>
            </w:r>
          </w:p>
        </w:tc>
        <w:tc>
          <w:tcPr>
            <w:tcW w:w="16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15,441</w:t>
            </w:r>
          </w:p>
        </w:tc>
      </w:tr>
      <w:tr>
        <w:trPr>
          <w:trHeight w:val="120"/>
        </w:trPr>
        <w:tc>
          <w:tcPr>
            <w:tcW w:w="8160" w:type="dxa"/>
            <w:vAlign w:val="bottom"/>
            <w:tcBorders>
              <w:bottom w:val="single" w:sz="8" w:color="auto"/>
            </w:tcBorders>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Cash and cash equivalents and restricted cash at the end of the period</w:t>
            </w:r>
          </w:p>
        </w:tc>
        <w:tc>
          <w:tcPr>
            <w:tcW w:w="22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right"/>
              <w:ind w:right="76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10,548</w:t>
            </w:r>
          </w:p>
        </w:tc>
        <w:tc>
          <w:tcPr>
            <w:tcW w:w="16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jc w:val="right"/>
              <w:ind w:right="20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11,483</w:t>
            </w:r>
          </w:p>
        </w:tc>
      </w:tr>
      <w:tr>
        <w:trPr>
          <w:trHeight w:val="129"/>
        </w:trPr>
        <w:tc>
          <w:tcPr>
            <w:tcW w:w="8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30"/>
        </w:trPr>
        <w:tc>
          <w:tcPr>
            <w:tcW w:w="8160" w:type="dxa"/>
            <w:vAlign w:val="bottom"/>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Cash and cash equivalents and restricted cash consists of:</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81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2"/>
                <w:szCs w:val="12"/>
                <w:color w:val="auto"/>
              </w:rPr>
              <w:t>Cash and cash equivalents</w:t>
            </w:r>
          </w:p>
        </w:tc>
        <w:tc>
          <w:tcPr>
            <w:tcW w:w="1100" w:type="dxa"/>
            <w:vAlign w:val="bottom"/>
            <w:gridSpan w:val="2"/>
            <w:shd w:val="clear" w:color="auto" w:fill="CCEEFF"/>
          </w:tcPr>
          <w:p>
            <w:pPr>
              <w:jc w:val="right"/>
              <w:ind w:right="766"/>
              <w:spacing w:after="0" w:line="130"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8,090</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10,083</w:t>
            </w:r>
          </w:p>
        </w:tc>
      </w:tr>
      <w:tr>
        <w:trPr>
          <w:trHeight w:val="130"/>
        </w:trPr>
        <w:tc>
          <w:tcPr>
            <w:tcW w:w="8160" w:type="dxa"/>
            <w:vAlign w:val="bottom"/>
            <w:tcBorders>
              <w:bottom w:val="single" w:sz="8" w:color="CCEEFF"/>
            </w:tcBorders>
          </w:tcPr>
          <w:p>
            <w:pPr>
              <w:ind w:left="140"/>
              <w:spacing w:after="0" w:line="130" w:lineRule="exact"/>
              <w:rPr>
                <w:sz w:val="20"/>
                <w:szCs w:val="20"/>
                <w:color w:val="auto"/>
              </w:rPr>
            </w:pPr>
            <w:r>
              <w:rPr>
                <w:rFonts w:ascii="Times New Roman" w:cs="Times New Roman" w:eastAsia="Times New Roman" w:hAnsi="Times New Roman"/>
                <w:sz w:val="12"/>
                <w:szCs w:val="12"/>
                <w:color w:val="auto"/>
              </w:rPr>
              <w:t>Restricted cash</w:t>
            </w:r>
          </w:p>
        </w:tc>
        <w:tc>
          <w:tcPr>
            <w:tcW w:w="22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2,458</w:t>
            </w:r>
          </w:p>
        </w:tc>
        <w:tc>
          <w:tcPr>
            <w:tcW w:w="1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1,400</w:t>
            </w:r>
          </w:p>
        </w:tc>
      </w:tr>
      <w:tr>
        <w:trPr>
          <w:trHeight w:val="120"/>
        </w:trPr>
        <w:tc>
          <w:tcPr>
            <w:tcW w:w="81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76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10,548</w:t>
            </w:r>
          </w:p>
        </w:tc>
        <w:tc>
          <w:tcPr>
            <w:tcW w:w="16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jc w:val="right"/>
              <w:ind w:right="20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11,483</w:t>
            </w:r>
          </w:p>
        </w:tc>
      </w:tr>
      <w:tr>
        <w:trPr>
          <w:trHeight w:val="390"/>
        </w:trPr>
        <w:tc>
          <w:tcPr>
            <w:tcW w:w="816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Supplemental Disclosures</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30"/>
        </w:trPr>
        <w:tc>
          <w:tcPr>
            <w:tcW w:w="8160" w:type="dxa"/>
            <w:vAlign w:val="bottom"/>
          </w:tcPr>
          <w:p>
            <w:pPr>
              <w:ind w:left="140"/>
              <w:spacing w:after="0" w:line="130" w:lineRule="exact"/>
              <w:rPr>
                <w:sz w:val="20"/>
                <w:szCs w:val="20"/>
                <w:color w:val="auto"/>
              </w:rPr>
            </w:pPr>
            <w:r>
              <w:rPr>
                <w:rFonts w:ascii="Times New Roman" w:cs="Times New Roman" w:eastAsia="Times New Roman" w:hAnsi="Times New Roman"/>
                <w:sz w:val="12"/>
                <w:szCs w:val="12"/>
                <w:color w:val="auto"/>
              </w:rPr>
              <w:t>Interest paid</w:t>
            </w:r>
          </w:p>
        </w:tc>
        <w:tc>
          <w:tcPr>
            <w:tcW w:w="1100" w:type="dxa"/>
            <w:vAlign w:val="bottom"/>
            <w:gridSpan w:val="2"/>
          </w:tcPr>
          <w:p>
            <w:pPr>
              <w:jc w:val="right"/>
              <w:ind w:right="766"/>
              <w:spacing w:after="0" w:line="130"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11,922</w:t>
            </w:r>
          </w:p>
        </w:tc>
        <w:tc>
          <w:tcPr>
            <w:tcW w:w="160" w:type="dxa"/>
            <w:vAlign w:val="bottom"/>
          </w:tcPr>
          <w:p>
            <w:pPr>
              <w:spacing w:after="0"/>
              <w:rPr>
                <w:sz w:val="11"/>
                <w:szCs w:val="11"/>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14,427</w:t>
            </w:r>
          </w:p>
        </w:tc>
      </w:tr>
      <w:tr>
        <w:trPr>
          <w:trHeight w:val="130"/>
        </w:trPr>
        <w:tc>
          <w:tcPr>
            <w:tcW w:w="81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2"/>
                <w:szCs w:val="12"/>
                <w:color w:val="auto"/>
              </w:rPr>
              <w:t>Income taxes (refunded) paid</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2,309</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1,638</w:t>
            </w:r>
          </w:p>
        </w:tc>
      </w:tr>
      <w:tr>
        <w:trPr>
          <w:trHeight w:val="130"/>
        </w:trPr>
        <w:tc>
          <w:tcPr>
            <w:tcW w:w="8160" w:type="dxa"/>
            <w:vAlign w:val="bottom"/>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Non-Cash Transactions</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816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2"/>
                <w:szCs w:val="12"/>
                <w:color w:val="auto"/>
              </w:rPr>
              <w:t>Additions to operating and investing properties through accrued expenses</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487</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940</w:t>
            </w: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See accompanying Notes to the Unaudited Consolidated Financial Statements</w:t>
      </w:r>
      <w:r>
        <w:rPr>
          <w:rFonts w:ascii="Times New Roman" w:cs="Times New Roman" w:eastAsia="Times New Roman" w:hAnsi="Times New Roman"/>
          <w:sz w:val="10"/>
          <w:szCs w:val="10"/>
          <w:color w:val="auto"/>
        </w:rPr>
        <w: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246" w:right="299" w:bottom="1440" w:gutter="0" w:footer="0" w:header="0"/>
        </w:sectPr>
      </w:pPr>
    </w:p>
    <w:bookmarkStart w:id="6" w:name="page7"/>
    <w:bookmarkEnd w:id="6"/>
    <w:p>
      <w:pPr>
        <w:ind w:left="4640"/>
        <w:spacing w:after="0"/>
        <w:rPr>
          <w:sz w:val="20"/>
          <w:szCs w:val="20"/>
          <w:color w:val="auto"/>
        </w:rPr>
      </w:pPr>
      <w:r>
        <w:rPr>
          <w:rFonts w:ascii="Times New Roman" w:cs="Times New Roman" w:eastAsia="Times New Roman" w:hAnsi="Times New Roman"/>
          <w:sz w:val="12"/>
          <w:szCs w:val="12"/>
          <w:b w:val="1"/>
          <w:bCs w:val="1"/>
          <w:color w:val="auto"/>
        </w:rPr>
        <w:t>READING INTERNATIONAL, INC.</w:t>
      </w:r>
    </w:p>
    <w:p>
      <w:pPr>
        <w:spacing w:after="0" w:line="1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2"/>
          <w:szCs w:val="12"/>
          <w:b w:val="1"/>
          <w:bCs w:val="1"/>
          <w:color w:val="auto"/>
        </w:rPr>
        <w:t xml:space="preserve">NOTES TO CONSOLIDATED FINANCIAL STATEMENTS </w:t>
      </w:r>
      <w:r>
        <w:rPr>
          <w:rFonts w:ascii="Times New Roman" w:cs="Times New Roman" w:eastAsia="Times New Roman" w:hAnsi="Times New Roman"/>
          <w:sz w:val="12"/>
          <w:szCs w:val="12"/>
          <w:color w:val="auto"/>
        </w:rPr>
        <w:t>(Unaudited)</w:t>
      </w: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As of and for the nine Months Ended September 30, 2025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NOTE 1 – DESCRIPTION OF BUSINESS AND SEGMENT REPORTING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Our Company</w:t>
      </w:r>
    </w:p>
    <w:p>
      <w:pPr>
        <w:spacing w:after="0" w:line="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2"/>
          <w:szCs w:val="12"/>
          <w:color w:val="auto"/>
        </w:rPr>
        <w:t>Reading International, Inc., a Nevada corporation (“RDI” and collectively with our consolidated subsidiaries and corporate predecessors, the “Company,” “Reading,” and “we,” “us,” or “our”) was incorporated in 1999. Our businesses consist primarily of:</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development, ownership, and operation of cinemas in the United States, Australia, and New Zealand; and</w:t>
      </w:r>
    </w:p>
    <w:p>
      <w:pPr>
        <w:spacing w:after="0" w:line="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development, ownership, operation and/or rental of retail, commercial and live venue real estate assets in Australia, New Zealand, and the United States.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NOTE 2 – LIQUIDITY AND IMPAIRMENT ASSESSMENT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Going Concern</w:t>
      </w:r>
    </w:p>
    <w:p>
      <w:pPr>
        <w:spacing w:after="0" w:line="1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 xml:space="preserve">We continue to evaluate the going concern assertion required by ASC 205-40 </w:t>
      </w:r>
      <w:r>
        <w:rPr>
          <w:rFonts w:ascii="Times New Roman" w:cs="Times New Roman" w:eastAsia="Times New Roman" w:hAnsi="Times New Roman"/>
          <w:sz w:val="12"/>
          <w:szCs w:val="12"/>
          <w:i w:val="1"/>
          <w:iCs w:val="1"/>
          <w:color w:val="auto"/>
        </w:rPr>
        <w:t>Going Concern</w:t>
      </w:r>
      <w:r>
        <w:rPr>
          <w:rFonts w:ascii="Times New Roman" w:cs="Times New Roman" w:eastAsia="Times New Roman" w:hAnsi="Times New Roman"/>
          <w:sz w:val="12"/>
          <w:szCs w:val="12"/>
          <w:color w:val="auto"/>
        </w:rPr>
        <w:t xml:space="preserve"> as it relates to our Company. The evaluation of the going concern assertion involves considering whether it is probable that our Company has sufficient resources, as at the issue date of the financial statements, to meet its obligations as they fall due for twelve months following the issue date. Should it be probable that there are not sufficient resources, we must develop plans to overcome that shortfall. We must then determine whether it is probable that our plans will be effectively implemented and will mitigate the consequential going concern substantial doubt.</w:t>
      </w:r>
    </w:p>
    <w:p>
      <w:pPr>
        <w:spacing w:after="0" w:line="1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2"/>
          <w:szCs w:val="12"/>
          <w:color w:val="auto"/>
        </w:rPr>
        <w:t>We have $16.5 million of debt due in twelve months, cash of $10.5 million and negative working capital of $92.7 million. As a result, we have developed a plan to address and overcome the going concern uncertainty. Our plan is informed by current liquidity positions, debt obligations, our beliefs about the marketability of certain real estate properties, our beliefs about the recovery of the global cinema industry, cash flow estimates, known capital and other expenditure requirements and commitments and our current business plan and strategies. Our Company’s business plan - two businesses (real estate and cinema) in three countries (Australia, New Zealand and the U.S.) - has served us well historically and is key to management’s overall evaluation of ASC 205-40 Going Concern.</w:t>
      </w:r>
    </w:p>
    <w:p>
      <w:pPr>
        <w:spacing w:after="0" w:line="1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2"/>
          <w:szCs w:val="12"/>
          <w:color w:val="auto"/>
        </w:rPr>
        <w:t>While we believe that, with an increase in the quantity and quality of films being released to cinemas compared to pre-pandemic levels, patronage and operating revenue levels will improve, we have no control over attendance levels and no assurances can be given as to the nature of the reception of future movies by the movie-going public.</w:t>
      </w:r>
    </w:p>
    <w:p>
      <w:pPr>
        <w:spacing w:after="0" w:line="93"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2"/>
          <w:szCs w:val="12"/>
          <w:color w:val="auto"/>
        </w:rPr>
        <w:t xml:space="preserve">We have begun the process of refinancing and/or extending certain loans, as further discussed in </w:t>
      </w:r>
      <w:r>
        <w:rPr>
          <w:rFonts w:ascii="Times New Roman" w:cs="Times New Roman" w:eastAsia="Times New Roman" w:hAnsi="Times New Roman"/>
          <w:sz w:val="12"/>
          <w:szCs w:val="12"/>
          <w:i w:val="1"/>
          <w:iCs w:val="1"/>
          <w:color w:val="auto"/>
        </w:rPr>
        <w:t>Note 13 - Borrowings</w:t>
      </w:r>
      <w:r>
        <w:rPr>
          <w:rFonts w:ascii="Times New Roman" w:cs="Times New Roman" w:eastAsia="Times New Roman" w:hAnsi="Times New Roman"/>
          <w:sz w:val="12"/>
          <w:szCs w:val="12"/>
          <w:color w:val="auto"/>
        </w:rPr>
        <w:t>. On January 31, 2025, we repaid our $10.7 million Westpac loan. On February 5, 2025, we repaid $6.1 million of our Bank of America facility, taking the balance to $8.7 million. On July 3, 2025, we extended the maturity date of this loan to May 18, 2026. On February 26, 2025, we exercised our option to extend our Valley National debt to October 1, 2025. On May 2, 2025, we extended our Emerald Creek Capital loan to November 6, 2026. On May 21, 2025, we sold our Cannon Park property for $20.7 million, and repaid our $12.9 million NAB bridging facility and $970,000 on our NAB Core Facility. On July 18, 2025, we extended the maturity date of our Santander loan to June 1, 2026. On November 12, we extended our NAB facility by five years, and on November 13, we extended our Valley National debt of $20.4 million to October 1, 2026.</w:t>
      </w:r>
    </w:p>
    <w:p>
      <w:pPr>
        <w:spacing w:after="0" w:line="9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Moreover, we intend to raise the liquidity necessary for the next twelve months from refinancings and real estate asset monetization. Management has been authorized to pursue such actions where necessary. We believe we have more than sufficient marketable real estate assets that can be monetized on a timely basis and at the values required to meet our funding needs over the next twelve months. After having sold nine property assets with combined proceeds of $201.5 million since 2021, we have demonstrated our ability to complete real estate asset monetizations.</w:t>
      </w:r>
    </w:p>
    <w:p>
      <w:pPr>
        <w:spacing w:after="0" w:line="10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2"/>
          <w:szCs w:val="12"/>
          <w:color w:val="auto"/>
        </w:rPr>
        <w:t xml:space="preserve">In conclusion, as of the date of issuance of these financial statements, based on our evaluation of ASC 205-40 </w:t>
      </w:r>
      <w:r>
        <w:rPr>
          <w:rFonts w:ascii="Times New Roman" w:cs="Times New Roman" w:eastAsia="Times New Roman" w:hAnsi="Times New Roman"/>
          <w:sz w:val="12"/>
          <w:szCs w:val="12"/>
          <w:i w:val="1"/>
          <w:iCs w:val="1"/>
          <w:color w:val="auto"/>
        </w:rPr>
        <w:t>Going Concern</w:t>
      </w:r>
      <w:r>
        <w:rPr>
          <w:rFonts w:ascii="Times New Roman" w:cs="Times New Roman" w:eastAsia="Times New Roman" w:hAnsi="Times New Roman"/>
          <w:sz w:val="12"/>
          <w:szCs w:val="12"/>
          <w:color w:val="auto"/>
        </w:rPr>
        <w:t xml:space="preserve"> and the current conditions and events, considered in the aggregate, and our various plans for enhancing liquidity and the extent to which those plans are progressing, we conclude that our plan to raise sufficient liquidity primarily through certain real estate asset monetizations to the extent needed is probable of being implemented to the extent required such that this alleviates the substantial doubt about our Company’s ability to continue as a going concern.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Impairment Considerations</w:t>
      </w:r>
    </w:p>
    <w:p>
      <w:pPr>
        <w:spacing w:after="0" w:line="123"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2"/>
          <w:szCs w:val="12"/>
          <w:color w:val="auto"/>
        </w:rPr>
        <w:t xml:space="preserve">Our Company considers that the events and factors described above constitute impairment indicators under </w:t>
      </w:r>
      <w:r>
        <w:rPr>
          <w:rFonts w:ascii="Times New Roman" w:cs="Times New Roman" w:eastAsia="Times New Roman" w:hAnsi="Times New Roman"/>
          <w:sz w:val="12"/>
          <w:szCs w:val="12"/>
          <w:i w:val="1"/>
          <w:iCs w:val="1"/>
          <w:color w:val="auto"/>
        </w:rPr>
        <w:t>ASC 360 Property, Plant and Equipment</w:t>
      </w:r>
      <w:r>
        <w:rPr>
          <w:rFonts w:ascii="Times New Roman" w:cs="Times New Roman" w:eastAsia="Times New Roman" w:hAnsi="Times New Roman"/>
          <w:sz w:val="12"/>
          <w:szCs w:val="12"/>
          <w:color w:val="auto"/>
        </w:rPr>
        <w:t>. At December 31, 2024, our Company performed a quantitative recoverability test of the carrying values of all its asset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144145</wp:posOffset>
            </wp:positionV>
            <wp:extent cx="7200265"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246" w:right="299" w:bottom="1440" w:gutter="0" w:footer="0" w:header="0"/>
        </w:sectPr>
      </w:pPr>
    </w:p>
    <w:bookmarkStart w:id="7" w:name="page8"/>
    <w:bookmarkEnd w:id="7"/>
    <w:p>
      <w:pPr>
        <w:jc w:val="both"/>
        <w:spacing w:after="0" w:line="246" w:lineRule="auto"/>
        <w:rPr>
          <w:sz w:val="20"/>
          <w:szCs w:val="20"/>
          <w:color w:val="auto"/>
        </w:rPr>
      </w:pPr>
      <w:r>
        <w:rPr>
          <w:rFonts w:ascii="Times New Roman" w:cs="Times New Roman" w:eastAsia="Times New Roman" w:hAnsi="Times New Roman"/>
          <w:sz w:val="12"/>
          <w:szCs w:val="12"/>
          <w:color w:val="auto"/>
        </w:rPr>
        <w:t>groups. Our Company estimated the undiscounted future cash flows expected to result from the use of these asset groups and found that no impairment charge was necessary. The nine months to September 30, 2025, produced higher revenues and operating income compared to the same period in 2024, and we believe that this improved performance at an asset group level will continue throughout the remaining quarter of 2025. As a result, we</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recorded no impairment charges for the nine months to September 30, 2025. Actual performance against our forecasts is dependent on several variables and conditions, many of which are subject to the uncertainties associated with among other things, the factors presented above, and as a result, actual results may materially differ from management’s estimates.</w:t>
      </w:r>
    </w:p>
    <w:p>
      <w:pPr>
        <w:spacing w:after="0" w:line="1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2"/>
          <w:szCs w:val="12"/>
          <w:color w:val="auto"/>
        </w:rPr>
        <w:t xml:space="preserve">Our Company also considers that the events and factors described above continue to constitute impairment indicators under </w:t>
      </w:r>
      <w:r>
        <w:rPr>
          <w:rFonts w:ascii="Times New Roman" w:cs="Times New Roman" w:eastAsia="Times New Roman" w:hAnsi="Times New Roman"/>
          <w:sz w:val="12"/>
          <w:szCs w:val="12"/>
          <w:i w:val="1"/>
          <w:iCs w:val="1"/>
          <w:color w:val="auto"/>
        </w:rPr>
        <w:t>ASC 350 Intangibles – Goodwill and Other</w:t>
      </w:r>
      <w:r>
        <w:rPr>
          <w:rFonts w:ascii="Times New Roman" w:cs="Times New Roman" w:eastAsia="Times New Roman" w:hAnsi="Times New Roman"/>
          <w:sz w:val="12"/>
          <w:szCs w:val="12"/>
          <w:color w:val="auto"/>
        </w:rPr>
        <w:t>. Our Company performed a quantitative goodwill impairment test and determined that our goodwill was not impaired as of December 31, 2024. The test was performed at a reporting unit level by comparing each reporting unit’s carrying value, including goodwill, to its fair value. The fair value of each reporting unit was assessed using a discounted cash flow model based on the budgetary revisions performed by management in response to COVID-19 and the developing market conditions. No impairment charges were recorded in the nine months to September 30, 2025. Actual performance against our forecasts is dependent on several variables and conditions, including among other things, the factors presented above, and as a result, actual results may materially differ from management’s estimates.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NOTE 3 – SUMMARY OF SIGNIFICANT ACCOUNTING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of Consolidation</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The accompanying consolidated financial statements include the accounts of our Company’s wholly-owned subsidiaries as well as majority-owned subsidiaries that our Company controls and should be read in conjunction with our Company’s Annual Report on Form 10-K as of and for the year ended December 31, 2024 (“2024 Form 10-K”). All significant intercompany balances and transactions have been eliminated on consolidation. These consolidated financial statements were prepared in accordance with accounting principles generally accepted in the United States of America (“U.S. GAAP”) for interim reporting with the instructions for Form 10-Q and Rule 10-01 of Regulation S-X of the Securities and Exchange Commission (“SEC”). As such, they do not include all information and footnotes required by U.S. GAAP for complete financial statements. We believe that we have included all normal and recurring adjustments necessary for a fair presentation of the results for the interim period.</w:t>
      </w:r>
    </w:p>
    <w:p>
      <w:pPr>
        <w:spacing w:after="0" w:line="112" w:lineRule="exact"/>
        <w:rPr>
          <w:sz w:val="20"/>
          <w:szCs w:val="20"/>
          <w:color w:val="auto"/>
        </w:rPr>
      </w:pPr>
    </w:p>
    <w:p>
      <w:pPr>
        <w:ind w:right="2260"/>
        <w:spacing w:after="0" w:line="336" w:lineRule="auto"/>
        <w:rPr>
          <w:sz w:val="20"/>
          <w:szCs w:val="20"/>
          <w:color w:val="auto"/>
        </w:rPr>
      </w:pPr>
      <w:r>
        <w:rPr>
          <w:rFonts w:ascii="Times New Roman" w:cs="Times New Roman" w:eastAsia="Times New Roman" w:hAnsi="Times New Roman"/>
          <w:sz w:val="12"/>
          <w:szCs w:val="12"/>
          <w:color w:val="auto"/>
        </w:rPr>
        <w:t xml:space="preserve">Operating results for the quarter and nine months ended September 30, 2025 are not necessarily indicative of the results that may be expected for the year ending December 31, 2025. </w:t>
      </w:r>
      <w:r>
        <w:rPr>
          <w:rFonts w:ascii="Times New Roman" w:cs="Times New Roman" w:eastAsia="Times New Roman" w:hAnsi="Times New Roman"/>
          <w:sz w:val="12"/>
          <w:szCs w:val="12"/>
          <w:b w:val="1"/>
          <w:bCs w:val="1"/>
          <w:color w:val="auto"/>
        </w:rPr>
        <w:t>Use of Estimates</w:t>
      </w:r>
    </w:p>
    <w:p>
      <w:pPr>
        <w:jc w:val="both"/>
        <w:spacing w:after="0" w:line="237" w:lineRule="auto"/>
        <w:rPr>
          <w:sz w:val="20"/>
          <w:szCs w:val="20"/>
          <w:color w:val="auto"/>
        </w:rPr>
      </w:pPr>
      <w:r>
        <w:rPr>
          <w:rFonts w:ascii="Times New Roman" w:cs="Times New Roman" w:eastAsia="Times New Roman" w:hAnsi="Times New Roman"/>
          <w:sz w:val="12"/>
          <w:szCs w:val="12"/>
          <w:color w:val="auto"/>
        </w:rPr>
        <w:t>The preparation of consolidated financial statements in conformity with U.S. GAAP requires management to make estimates and assumptions that affect the amounts reported in the consolidated financial statements and footnotes thereto. Significant estimates include (i) projections we make regarding the recoverability and impairment of our assets (including goodwill and intangibles), (ii) valuations of our derivative instruments, (iii) recoverability of our deferred tax assets, (iv) estimation of breakage and redemption experience rates, which drive how we recognize breakage on our gift card and gift certificates, and revenue from our customer loyalty programs, and (v) estimation of our Incremental Borrowing Rate (“IBR”) as relates to the valuation of our right-of-use assets and lease liabilities. Actual results may differ from those estimates</w:t>
      </w:r>
      <w:r>
        <w:rPr>
          <w:rFonts w:ascii="Times New Roman" w:cs="Times New Roman" w:eastAsia="Times New Roman" w:hAnsi="Times New Roman"/>
          <w:sz w:val="12"/>
          <w:szCs w:val="12"/>
          <w:i w:val="1"/>
          <w:iCs w:val="1"/>
          <w:color w:val="auto"/>
        </w:rPr>
        <w: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Recently Adopted and Issued Accounting Pronouncements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Adopted: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ASU 2023-07 Segment Reporting: Improvements to Reportable Segment Disclosures</w:t>
      </w:r>
    </w:p>
    <w:p>
      <w:pPr>
        <w:spacing w:after="0" w:line="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2"/>
          <w:szCs w:val="12"/>
          <w:color w:val="auto"/>
        </w:rPr>
        <w:t>On December 16, 2024, we adopted ASU 2023-07: Segment Reporting: Improvements to Reportable Segment Disclosures. This ASU expends the disclosures required by public entities for reportable segments. Adoption of the ASU has had no material effect on our consolidated financial statements from a recognition and measurement perspective, and has not altered our reportable segments, but has enhanced our disclosure of certain expenses and profitability measurement.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Recently Announced: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ASU 2023-09 Income Taxes: Improvements to Income Tax Disclosures</w:t>
      </w:r>
    </w:p>
    <w:p>
      <w:pPr>
        <w:spacing w:after="0" w:line="16"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2"/>
          <w:szCs w:val="12"/>
          <w:color w:val="212529"/>
        </w:rPr>
        <w:t>In December 2023, the FASB issued ASC 2023-09 Income Taxes: Improvements to Income Tax Disclosures (“ASU 2023-09”). The amendments in ASU 2023-09 require entities to disclose on an annual basis (i) specific categories in the rate reconciliation and (ii) provide additional information for reconciling items that meet a quantitative threshold. The amendments also require that entities disclose various information about income taxes paid and (i) income (or loss) from continuing operations before income tax expense (or benefit) disaggregated between domestic and (ii) foreign and income tax expense (or benefit) from continuing operations disaggregated by federal (national), state, and foreign. ASU 2023-09 is effective for the Company for the year ended December 31, 2025.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144145</wp:posOffset>
            </wp:positionV>
            <wp:extent cx="720026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auto"/>
        </w:rPr>
        <w:t>ASU 2024-03 Income Statement – Reporting Comprehensive Income – Expense Disaggregation Disclosures</w:t>
      </w:r>
    </w:p>
    <w:p>
      <w:pPr>
        <w:spacing w:after="0" w:line="16" w:lineRule="exact"/>
        <w:rPr>
          <w:sz w:val="20"/>
          <w:szCs w:val="20"/>
          <w:color w:val="auto"/>
        </w:rPr>
      </w:pPr>
    </w:p>
    <w:p>
      <w:pPr>
        <w:jc w:val="both"/>
        <w:ind w:right="100"/>
        <w:spacing w:after="0" w:line="242" w:lineRule="auto"/>
        <w:rPr>
          <w:sz w:val="20"/>
          <w:szCs w:val="20"/>
          <w:color w:val="auto"/>
        </w:rPr>
      </w:pPr>
      <w:r>
        <w:rPr>
          <w:rFonts w:ascii="Times New Roman" w:cs="Times New Roman" w:eastAsia="Times New Roman" w:hAnsi="Times New Roman"/>
          <w:sz w:val="12"/>
          <w:szCs w:val="12"/>
          <w:color w:val="212529"/>
        </w:rPr>
        <w:t>In November 2024, the FASB issued ASC 2024-03, Income Statement (Subtopic 220-40)—Reporting Comprehensive Income-Expense Disaggregation Disclosures (“ASU 2024-03”). The amendments in ASU 2024-03 require that public business entities disclose additional information about specific expense categories in the notes to financial statements for interim and annual reporting periods. ASU 2024-03 is effective for the Company for the year ended December 31, 2027.</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NOTE 4 – SEGMENT REPORTING</w:t>
      </w:r>
    </w:p>
    <w:p>
      <w:pPr>
        <w:spacing w:after="0" w:line="1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2"/>
          <w:szCs w:val="12"/>
          <w:color w:val="auto"/>
        </w:rPr>
        <w:t>We report information about operating segments in accordance with ASC 280-10 Segment Reporting, which requires financial information to be reported based on the way management organizes segments with a company for making operating decisions and evaluating performance. We have organized our business into two reportable segments, being cinema exhibition and real estate.</w:t>
      </w:r>
    </w:p>
    <w:p>
      <w:pPr>
        <w:spacing w:after="0" w:line="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2"/>
          <w:szCs w:val="12"/>
          <w:color w:val="auto"/>
        </w:rPr>
        <w:t>Our cinema exhibition segment aggregates all our cinemas, both leased and owned, across the United States, Australia and New Zealand. Each of our cinemas earns revenue through the sale of movie tickets, food and beverage, screen advertising, theatre rentals, merchandise, gift card and loyalty membership, and other ancillary sales. The segment also earns revenue through service fees related to online ticket sales. Expenses are incurred through film rent, wages and salaries, food and beverage costs, occupancy costs, utilities, and other ancillary costs. We further organize this segment by geography, as while all our cinemas are engaged in substantially the same business activities, each geography is subject to its own unique regulatory and business conditions.</w:t>
      </w:r>
    </w:p>
    <w:p>
      <w:pPr>
        <w:spacing w:after="0" w:line="1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2"/>
          <w:szCs w:val="12"/>
          <w:color w:val="auto"/>
        </w:rPr>
        <w:t>Our real estate segment aggregates all our retail, commercial and live theatre real estate assets across Australia, New Zealand, and the United States. Our retail and commercial real estate assets earn revenue through the leasing or licensing of space to third party tenants.</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Our live theatre assets in the United States earn revenue through leasing or licensing space to third party production companies, an activity we consider sufficiently similar to our broader real estate base to support inclusion in our real estate segment. Our live theatre operations also earn revenue by providing front of house and box office services and through concession sale of food and beverage. All of our real estate assets incur expenses from property maintenance, utilities, taxes, and other costs of maintaining real estate and in some cases third party property management.</w:t>
      </w:r>
    </w:p>
    <w:p>
      <w:pPr>
        <w:spacing w:after="0" w:line="9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2"/>
          <w:szCs w:val="12"/>
          <w:color w:val="auto"/>
        </w:rPr>
        <w:t>Each of these segments has discrete and separate financial information and for which operating results are evaluated regularly by our President, Chief Executive Officer and Vice Chair of the Board of Directors, the chief operating decision-maker (“CODM”) of the Company. The CODM is responsible for the allocation of resources to, and the assessment of the performance of, our operating segments. The CODM determines, among other things:</w:t>
      </w:r>
    </w:p>
    <w:p>
      <w:pPr>
        <w:spacing w:after="0" w:line="139" w:lineRule="exact"/>
        <w:rPr>
          <w:sz w:val="20"/>
          <w:szCs w:val="20"/>
          <w:color w:val="auto"/>
        </w:rPr>
      </w:pPr>
    </w:p>
    <w:p>
      <w:pPr>
        <w:ind w:left="440" w:hanging="222"/>
        <w:spacing w:after="0"/>
        <w:tabs>
          <w:tab w:leader="none" w:pos="4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renewal or termination of cinema leases</w:t>
      </w:r>
    </w:p>
    <w:p>
      <w:pPr>
        <w:spacing w:after="0" w:line="1" w:lineRule="exact"/>
        <w:rPr>
          <w:rFonts w:ascii="Times New Roman" w:cs="Times New Roman" w:eastAsia="Times New Roman" w:hAnsi="Times New Roman"/>
          <w:sz w:val="12"/>
          <w:szCs w:val="12"/>
          <w:color w:val="auto"/>
        </w:rPr>
      </w:pPr>
    </w:p>
    <w:p>
      <w:pPr>
        <w:ind w:left="440" w:hanging="222"/>
        <w:spacing w:after="0" w:line="226" w:lineRule="auto"/>
        <w:tabs>
          <w:tab w:leader="none" w:pos="4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renewal or termination of third-party tenant leases</w:t>
      </w:r>
    </w:p>
    <w:p>
      <w:pPr>
        <w:ind w:left="440" w:hanging="222"/>
        <w:spacing w:after="0"/>
        <w:tabs>
          <w:tab w:leader="none" w:pos="4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capital expenditures</w:t>
      </w:r>
    </w:p>
    <w:p>
      <w:pPr>
        <w:spacing w:after="0" w:line="1" w:lineRule="exact"/>
        <w:rPr>
          <w:rFonts w:ascii="Times New Roman" w:cs="Times New Roman" w:eastAsia="Times New Roman" w:hAnsi="Times New Roman"/>
          <w:sz w:val="12"/>
          <w:szCs w:val="12"/>
          <w:color w:val="auto"/>
        </w:rPr>
      </w:pPr>
    </w:p>
    <w:p>
      <w:pPr>
        <w:ind w:left="440" w:hanging="222"/>
        <w:spacing w:after="0" w:line="226" w:lineRule="auto"/>
        <w:tabs>
          <w:tab w:leader="none" w:pos="4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internal resource allocation</w:t>
      </w:r>
    </w:p>
    <w:p>
      <w:pPr>
        <w:ind w:left="440" w:hanging="222"/>
        <w:spacing w:after="0"/>
        <w:tabs>
          <w:tab w:leader="none" w:pos="4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operational budgets.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Segment operating income is a key measure of profit or loss used by the CODM to assess segment performance and allocate resources. Segment operating income includes certain amounts charged by our real estate segment to our cinema exhibition segment where a cinema exhibition is a tenant of the real estate segment. These charges are eliminated for consolidated financial statement purposes in the consolidated income statement, but are presented gross to the CODM.</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tables below summarize the results of operations for each of our business segments, presenting a reconciliation of segment revenue to operating segment income, and the impact of inter-segment transactions.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84"/>
        </w:trPr>
        <w:tc>
          <w:tcPr>
            <w:tcW w:w="1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7"/>
                <w:szCs w:val="7"/>
                <w:b w:val="1"/>
                <w:bCs w:val="1"/>
                <w:color w:val="auto"/>
              </w:rPr>
              <w:t>Quarter Ended</w:t>
            </w: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jc w:val="center"/>
              <w:ind w:right="103"/>
              <w:spacing w:after="0"/>
              <w:rPr>
                <w:sz w:val="20"/>
                <w:szCs w:val="20"/>
                <w:color w:val="auto"/>
              </w:rPr>
            </w:pPr>
            <w:r>
              <w:rPr>
                <w:rFonts w:ascii="Times New Roman" w:cs="Times New Roman" w:eastAsia="Times New Roman" w:hAnsi="Times New Roman"/>
                <w:sz w:val="7"/>
                <w:szCs w:val="7"/>
                <w:b w:val="1"/>
                <w:bCs w:val="1"/>
                <w:color w:val="auto"/>
              </w:rPr>
              <w:t>Quarter Ended</w:t>
            </w: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7"/>
                <w:szCs w:val="7"/>
                <w:b w:val="1"/>
                <w:bCs w:val="1"/>
                <w:color w:val="auto"/>
              </w:rPr>
              <w:t>Nine Months Ended</w:t>
            </w: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7"/>
                <w:szCs w:val="7"/>
                <w:b w:val="1"/>
                <w:bCs w:val="1"/>
                <w:color w:val="auto"/>
              </w:rPr>
              <w:t>Nine Months Ended</w:t>
            </w: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7"/>
                <w:szCs w:val="7"/>
                <w:b w:val="1"/>
                <w:bCs w:val="1"/>
                <w:color w:val="auto"/>
              </w:rPr>
              <w:t>September 30, 2025</w:t>
            </w: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jc w:val="center"/>
              <w:ind w:right="63"/>
              <w:spacing w:after="0"/>
              <w:rPr>
                <w:sz w:val="20"/>
                <w:szCs w:val="20"/>
                <w:color w:val="auto"/>
              </w:rPr>
            </w:pPr>
            <w:r>
              <w:rPr>
                <w:rFonts w:ascii="Times New Roman" w:cs="Times New Roman" w:eastAsia="Times New Roman" w:hAnsi="Times New Roman"/>
                <w:sz w:val="7"/>
                <w:szCs w:val="7"/>
                <w:b w:val="1"/>
                <w:bCs w:val="1"/>
                <w:color w:val="auto"/>
              </w:rPr>
              <w:t>September 30, 2024</w:t>
            </w: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7"/>
                <w:szCs w:val="7"/>
                <w:b w:val="1"/>
                <w:bCs w:val="1"/>
                <w:color w:val="auto"/>
              </w:rPr>
              <w:t>September 30, 2025</w:t>
            </w: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7"/>
                <w:szCs w:val="7"/>
                <w:b w:val="1"/>
                <w:bCs w:val="1"/>
                <w:color w:val="auto"/>
              </w:rPr>
              <w:t>September 30, 2024</w:t>
            </w: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900" w:type="dxa"/>
            <w:vAlign w:val="bottom"/>
            <w:vMerge w:val="restart"/>
          </w:tcPr>
          <w:p>
            <w:pPr>
              <w:spacing w:after="0"/>
              <w:rPr>
                <w:sz w:val="20"/>
                <w:szCs w:val="20"/>
                <w:color w:val="auto"/>
              </w:rPr>
            </w:pPr>
            <w:r>
              <w:rPr>
                <w:rFonts w:ascii="Times New Roman" w:cs="Times New Roman" w:eastAsia="Times New Roman" w:hAnsi="Times New Roman"/>
                <w:sz w:val="7"/>
                <w:szCs w:val="7"/>
                <w:i w:val="1"/>
                <w:iCs w:val="1"/>
                <w:color w:val="auto"/>
              </w:rPr>
              <w:t>(Dollars in thousands)</w:t>
            </w:r>
          </w:p>
        </w:tc>
        <w:tc>
          <w:tcPr>
            <w:tcW w:w="140" w:type="dxa"/>
            <w:vAlign w:val="bottom"/>
          </w:tcPr>
          <w:p>
            <w:pPr>
              <w:spacing w:after="0"/>
              <w:rPr>
                <w:sz w:val="4"/>
                <w:szCs w:val="4"/>
                <w:color w:val="auto"/>
              </w:rPr>
            </w:pPr>
          </w:p>
        </w:tc>
        <w:tc>
          <w:tcPr>
            <w:tcW w:w="640" w:type="dxa"/>
            <w:vAlign w:val="bottom"/>
            <w:vMerge w:val="restart"/>
          </w:tcPr>
          <w:p>
            <w:pPr>
              <w:jc w:val="right"/>
              <w:ind w:right="223"/>
              <w:spacing w:after="0"/>
              <w:rPr>
                <w:sz w:val="20"/>
                <w:szCs w:val="20"/>
                <w:color w:val="auto"/>
              </w:rPr>
            </w:pPr>
            <w:r>
              <w:rPr>
                <w:rFonts w:ascii="Times New Roman" w:cs="Times New Roman" w:eastAsia="Times New Roman" w:hAnsi="Times New Roman"/>
                <w:sz w:val="7"/>
                <w:szCs w:val="7"/>
                <w:b w:val="1"/>
                <w:bCs w:val="1"/>
                <w:color w:val="auto"/>
              </w:rPr>
              <w:t>Cinema</w:t>
            </w: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jc w:val="right"/>
              <w:ind w:right="363"/>
              <w:spacing w:after="0" w:line="56" w:lineRule="exact"/>
              <w:rPr>
                <w:sz w:val="20"/>
                <w:szCs w:val="20"/>
                <w:color w:val="auto"/>
              </w:rPr>
            </w:pPr>
            <w:r>
              <w:rPr>
                <w:rFonts w:ascii="Times New Roman" w:cs="Times New Roman" w:eastAsia="Times New Roman" w:hAnsi="Times New Roman"/>
                <w:sz w:val="6"/>
                <w:szCs w:val="6"/>
                <w:b w:val="1"/>
                <w:bCs w:val="1"/>
                <w:color w:val="auto"/>
              </w:rPr>
              <w:t>Real</w:t>
            </w:r>
          </w:p>
        </w:tc>
        <w:tc>
          <w:tcPr>
            <w:tcW w:w="180" w:type="dxa"/>
            <w:vAlign w:val="bottom"/>
          </w:tcPr>
          <w:p>
            <w:pPr>
              <w:spacing w:after="0"/>
              <w:rPr>
                <w:sz w:val="4"/>
                <w:szCs w:val="4"/>
                <w:color w:val="auto"/>
              </w:rPr>
            </w:pPr>
          </w:p>
        </w:tc>
        <w:tc>
          <w:tcPr>
            <w:tcW w:w="700" w:type="dxa"/>
            <w:vAlign w:val="bottom"/>
            <w:vMerge w:val="restart"/>
          </w:tcPr>
          <w:p>
            <w:pPr>
              <w:jc w:val="right"/>
              <w:ind w:right="363"/>
              <w:spacing w:after="0"/>
              <w:rPr>
                <w:sz w:val="20"/>
                <w:szCs w:val="20"/>
                <w:color w:val="auto"/>
              </w:rPr>
            </w:pPr>
            <w:r>
              <w:rPr>
                <w:rFonts w:ascii="Times New Roman" w:cs="Times New Roman" w:eastAsia="Times New Roman" w:hAnsi="Times New Roman"/>
                <w:sz w:val="7"/>
                <w:szCs w:val="7"/>
                <w:b w:val="1"/>
                <w:bCs w:val="1"/>
                <w:color w:val="auto"/>
              </w:rPr>
              <w:t>Total</w:t>
            </w:r>
          </w:p>
        </w:tc>
        <w:tc>
          <w:tcPr>
            <w:tcW w:w="160" w:type="dxa"/>
            <w:vAlign w:val="bottom"/>
          </w:tcPr>
          <w:p>
            <w:pPr>
              <w:spacing w:after="0"/>
              <w:rPr>
                <w:sz w:val="4"/>
                <w:szCs w:val="4"/>
                <w:color w:val="auto"/>
              </w:rPr>
            </w:pPr>
          </w:p>
        </w:tc>
        <w:tc>
          <w:tcPr>
            <w:tcW w:w="7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7"/>
                <w:szCs w:val="7"/>
                <w:b w:val="1"/>
                <w:bCs w:val="1"/>
                <w:color w:val="auto"/>
              </w:rPr>
              <w:t>Cinema</w:t>
            </w:r>
          </w:p>
        </w:tc>
        <w:tc>
          <w:tcPr>
            <w:tcW w:w="40" w:type="dxa"/>
            <w:vAlign w:val="bottom"/>
          </w:tcPr>
          <w:p>
            <w:pPr>
              <w:spacing w:after="0"/>
              <w:rPr>
                <w:sz w:val="4"/>
                <w:szCs w:val="4"/>
                <w:color w:val="auto"/>
              </w:rPr>
            </w:pPr>
          </w:p>
        </w:tc>
        <w:tc>
          <w:tcPr>
            <w:tcW w:w="680" w:type="dxa"/>
            <w:vAlign w:val="bottom"/>
          </w:tcPr>
          <w:p>
            <w:pPr>
              <w:jc w:val="center"/>
              <w:ind w:right="83"/>
              <w:spacing w:after="0" w:line="56" w:lineRule="exact"/>
              <w:rPr>
                <w:sz w:val="20"/>
                <w:szCs w:val="20"/>
                <w:color w:val="auto"/>
              </w:rPr>
            </w:pPr>
            <w:r>
              <w:rPr>
                <w:rFonts w:ascii="Times New Roman" w:cs="Times New Roman" w:eastAsia="Times New Roman" w:hAnsi="Times New Roman"/>
                <w:sz w:val="6"/>
                <w:szCs w:val="6"/>
                <w:b w:val="1"/>
                <w:bCs w:val="1"/>
                <w:color w:val="auto"/>
              </w:rPr>
              <w:t>Real</w:t>
            </w:r>
          </w:p>
        </w:tc>
        <w:tc>
          <w:tcPr>
            <w:tcW w:w="180" w:type="dxa"/>
            <w:vAlign w:val="bottom"/>
          </w:tcPr>
          <w:p>
            <w:pPr>
              <w:spacing w:after="0"/>
              <w:rPr>
                <w:sz w:val="4"/>
                <w:szCs w:val="4"/>
                <w:color w:val="auto"/>
              </w:rPr>
            </w:pPr>
          </w:p>
        </w:tc>
        <w:tc>
          <w:tcPr>
            <w:tcW w:w="580" w:type="dxa"/>
            <w:vAlign w:val="bottom"/>
            <w:vMerge w:val="restart"/>
          </w:tcPr>
          <w:p>
            <w:pPr>
              <w:jc w:val="right"/>
              <w:ind w:right="263"/>
              <w:spacing w:after="0"/>
              <w:rPr>
                <w:sz w:val="20"/>
                <w:szCs w:val="20"/>
                <w:color w:val="auto"/>
              </w:rPr>
            </w:pPr>
            <w:r>
              <w:rPr>
                <w:rFonts w:ascii="Times New Roman" w:cs="Times New Roman" w:eastAsia="Times New Roman" w:hAnsi="Times New Roman"/>
                <w:sz w:val="7"/>
                <w:szCs w:val="7"/>
                <w:b w:val="1"/>
                <w:bCs w:val="1"/>
                <w:color w:val="auto"/>
              </w:rPr>
              <w:t>Total</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vMerge w:val="restart"/>
          </w:tcPr>
          <w:p>
            <w:pPr>
              <w:jc w:val="right"/>
              <w:ind w:right="223"/>
              <w:spacing w:after="0"/>
              <w:rPr>
                <w:sz w:val="20"/>
                <w:szCs w:val="20"/>
                <w:color w:val="auto"/>
              </w:rPr>
            </w:pPr>
            <w:r>
              <w:rPr>
                <w:rFonts w:ascii="Times New Roman" w:cs="Times New Roman" w:eastAsia="Times New Roman" w:hAnsi="Times New Roman"/>
                <w:sz w:val="7"/>
                <w:szCs w:val="7"/>
                <w:b w:val="1"/>
                <w:bCs w:val="1"/>
                <w:color w:val="auto"/>
              </w:rPr>
              <w:t>Cinema</w:t>
            </w:r>
          </w:p>
        </w:tc>
        <w:tc>
          <w:tcPr>
            <w:tcW w:w="140" w:type="dxa"/>
            <w:vAlign w:val="bottom"/>
          </w:tcPr>
          <w:p>
            <w:pPr>
              <w:spacing w:after="0"/>
              <w:rPr>
                <w:sz w:val="4"/>
                <w:szCs w:val="4"/>
                <w:color w:val="auto"/>
              </w:rPr>
            </w:pPr>
          </w:p>
        </w:tc>
        <w:tc>
          <w:tcPr>
            <w:tcW w:w="580" w:type="dxa"/>
            <w:vAlign w:val="bottom"/>
            <w:gridSpan w:val="2"/>
          </w:tcPr>
          <w:p>
            <w:pPr>
              <w:jc w:val="center"/>
              <w:ind w:right="220"/>
              <w:spacing w:after="0" w:line="56" w:lineRule="exact"/>
              <w:rPr>
                <w:sz w:val="20"/>
                <w:szCs w:val="20"/>
                <w:color w:val="auto"/>
              </w:rPr>
            </w:pPr>
            <w:r>
              <w:rPr>
                <w:rFonts w:ascii="Times New Roman" w:cs="Times New Roman" w:eastAsia="Times New Roman" w:hAnsi="Times New Roman"/>
                <w:sz w:val="6"/>
                <w:szCs w:val="6"/>
                <w:b w:val="1"/>
                <w:bCs w:val="1"/>
                <w:color w:val="auto"/>
              </w:rPr>
              <w:t>Real</w:t>
            </w:r>
          </w:p>
        </w:tc>
        <w:tc>
          <w:tcPr>
            <w:tcW w:w="120" w:type="dxa"/>
            <w:vAlign w:val="bottom"/>
          </w:tcPr>
          <w:p>
            <w:pPr>
              <w:spacing w:after="0"/>
              <w:rPr>
                <w:sz w:val="4"/>
                <w:szCs w:val="4"/>
                <w:color w:val="auto"/>
              </w:rPr>
            </w:pPr>
          </w:p>
        </w:tc>
        <w:tc>
          <w:tcPr>
            <w:tcW w:w="5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7"/>
                <w:szCs w:val="7"/>
                <w:b w:val="1"/>
                <w:bCs w:val="1"/>
                <w:color w:val="auto"/>
              </w:rPr>
              <w:t>Total</w:t>
            </w:r>
          </w:p>
        </w:tc>
        <w:tc>
          <w:tcPr>
            <w:tcW w:w="140" w:type="dxa"/>
            <w:vAlign w:val="bottom"/>
          </w:tcPr>
          <w:p>
            <w:pPr>
              <w:spacing w:after="0"/>
              <w:rPr>
                <w:sz w:val="4"/>
                <w:szCs w:val="4"/>
                <w:color w:val="auto"/>
              </w:rPr>
            </w:pPr>
          </w:p>
        </w:tc>
        <w:tc>
          <w:tcPr>
            <w:tcW w:w="680" w:type="dxa"/>
            <w:vAlign w:val="bottom"/>
            <w:vMerge w:val="restart"/>
          </w:tcPr>
          <w:p>
            <w:pPr>
              <w:jc w:val="right"/>
              <w:ind w:right="303"/>
              <w:spacing w:after="0"/>
              <w:rPr>
                <w:sz w:val="20"/>
                <w:szCs w:val="20"/>
                <w:color w:val="auto"/>
              </w:rPr>
            </w:pPr>
            <w:r>
              <w:rPr>
                <w:rFonts w:ascii="Times New Roman" w:cs="Times New Roman" w:eastAsia="Times New Roman" w:hAnsi="Times New Roman"/>
                <w:sz w:val="7"/>
                <w:szCs w:val="7"/>
                <w:b w:val="1"/>
                <w:bCs w:val="1"/>
                <w:color w:val="auto"/>
              </w:rPr>
              <w:t>Cinema</w:t>
            </w:r>
          </w:p>
        </w:tc>
        <w:tc>
          <w:tcPr>
            <w:tcW w:w="140" w:type="dxa"/>
            <w:vAlign w:val="bottom"/>
          </w:tcPr>
          <w:p>
            <w:pPr>
              <w:spacing w:after="0"/>
              <w:rPr>
                <w:sz w:val="4"/>
                <w:szCs w:val="4"/>
                <w:color w:val="auto"/>
              </w:rPr>
            </w:pPr>
          </w:p>
        </w:tc>
        <w:tc>
          <w:tcPr>
            <w:tcW w:w="600" w:type="dxa"/>
            <w:vAlign w:val="bottom"/>
          </w:tcPr>
          <w:p>
            <w:pPr>
              <w:jc w:val="right"/>
              <w:ind w:right="303"/>
              <w:spacing w:after="0" w:line="56" w:lineRule="exact"/>
              <w:rPr>
                <w:sz w:val="20"/>
                <w:szCs w:val="20"/>
                <w:color w:val="auto"/>
              </w:rPr>
            </w:pPr>
            <w:r>
              <w:rPr>
                <w:rFonts w:ascii="Times New Roman" w:cs="Times New Roman" w:eastAsia="Times New Roman" w:hAnsi="Times New Roman"/>
                <w:sz w:val="6"/>
                <w:szCs w:val="6"/>
                <w:b w:val="1"/>
                <w:bCs w:val="1"/>
                <w:color w:val="auto"/>
              </w:rPr>
              <w:t>Real</w:t>
            </w:r>
          </w:p>
        </w:tc>
        <w:tc>
          <w:tcPr>
            <w:tcW w:w="160" w:type="dxa"/>
            <w:vAlign w:val="bottom"/>
          </w:tcPr>
          <w:p>
            <w:pPr>
              <w:spacing w:after="0"/>
              <w:rPr>
                <w:sz w:val="4"/>
                <w:szCs w:val="4"/>
                <w:color w:val="auto"/>
              </w:rPr>
            </w:pPr>
          </w:p>
        </w:tc>
        <w:tc>
          <w:tcPr>
            <w:tcW w:w="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7"/>
                <w:szCs w:val="7"/>
                <w:b w:val="1"/>
                <w:bCs w:val="1"/>
                <w:color w:val="auto"/>
              </w:rPr>
              <w:t>Total</w:t>
            </w:r>
          </w:p>
        </w:tc>
        <w:tc>
          <w:tcPr>
            <w:tcW w:w="0" w:type="dxa"/>
            <w:vAlign w:val="bottom"/>
          </w:tcPr>
          <w:p>
            <w:pPr>
              <w:spacing w:after="0"/>
              <w:rPr>
                <w:sz w:val="1"/>
                <w:szCs w:val="1"/>
                <w:color w:val="auto"/>
              </w:rPr>
            </w:pPr>
          </w:p>
        </w:tc>
      </w:tr>
      <w:tr>
        <w:trPr>
          <w:trHeight w:val="101"/>
        </w:trPr>
        <w:tc>
          <w:tcPr>
            <w:tcW w:w="1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jc w:val="right"/>
              <w:ind w:right="323"/>
              <w:spacing w:after="0"/>
              <w:rPr>
                <w:sz w:val="20"/>
                <w:szCs w:val="20"/>
                <w:color w:val="auto"/>
              </w:rPr>
            </w:pPr>
            <w:r>
              <w:rPr>
                <w:rFonts w:ascii="Times New Roman" w:cs="Times New Roman" w:eastAsia="Times New Roman" w:hAnsi="Times New Roman"/>
                <w:sz w:val="7"/>
                <w:szCs w:val="7"/>
                <w:b w:val="1"/>
                <w:bCs w:val="1"/>
                <w:color w:val="auto"/>
              </w:rPr>
              <w:t>Estate‎</w:t>
            </w:r>
          </w:p>
        </w:tc>
        <w:tc>
          <w:tcPr>
            <w:tcW w:w="1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jc w:val="center"/>
              <w:ind w:right="83"/>
              <w:spacing w:after="0"/>
              <w:rPr>
                <w:sz w:val="20"/>
                <w:szCs w:val="20"/>
                <w:color w:val="auto"/>
              </w:rPr>
            </w:pPr>
            <w:r>
              <w:rPr>
                <w:rFonts w:ascii="Times New Roman" w:cs="Times New Roman" w:eastAsia="Times New Roman" w:hAnsi="Times New Roman"/>
                <w:sz w:val="7"/>
                <w:szCs w:val="7"/>
                <w:b w:val="1"/>
                <w:bCs w:val="1"/>
                <w:color w:val="auto"/>
              </w:rPr>
              <w:t>Estate‎</w:t>
            </w: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rPr>
              <w:t>Estate‎</w:t>
            </w:r>
          </w:p>
        </w:tc>
        <w:tc>
          <w:tcPr>
            <w:tcW w:w="12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jc w:val="right"/>
              <w:ind w:right="263"/>
              <w:spacing w:after="0"/>
              <w:rPr>
                <w:sz w:val="20"/>
                <w:szCs w:val="20"/>
                <w:color w:val="auto"/>
              </w:rPr>
            </w:pPr>
            <w:r>
              <w:rPr>
                <w:rFonts w:ascii="Times New Roman" w:cs="Times New Roman" w:eastAsia="Times New Roman" w:hAnsi="Times New Roman"/>
                <w:sz w:val="7"/>
                <w:szCs w:val="7"/>
                <w:b w:val="1"/>
                <w:bCs w:val="1"/>
                <w:color w:val="auto"/>
              </w:rPr>
              <w:t>Estate‎</w:t>
            </w: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Revenue - third party</w:t>
            </w:r>
          </w:p>
        </w:tc>
        <w:tc>
          <w:tcPr>
            <w:tcW w:w="1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48,555</w:t>
            </w: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right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7"/>
                <w:szCs w:val="7"/>
                <w:color w:val="auto"/>
              </w:rPr>
              <w:t>3,615</w:t>
            </w:r>
          </w:p>
        </w:tc>
        <w:tc>
          <w:tcPr>
            <w:tcW w:w="18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
                <w:szCs w:val="1"/>
                <w:color w:val="auto"/>
                <w:w w:val="4294967286"/>
              </w:rPr>
              <w:t>$</w:t>
            </w:r>
          </w:p>
        </w:tc>
        <w:tc>
          <w:tcPr>
            <w:tcW w:w="700" w:type="dxa"/>
            <w:vAlign w:val="bottom"/>
            <w:tcBorders>
              <w:top w:val="single" w:sz="8" w:color="auto"/>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7"/>
                <w:szCs w:val="7"/>
                <w:color w:val="auto"/>
              </w:rPr>
              <w:t>52,170</w:t>
            </w:r>
          </w:p>
        </w:tc>
        <w:tc>
          <w:tcPr>
            <w:tcW w:w="1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56,357</w:t>
            </w: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
                <w:szCs w:val="1"/>
                <w:color w:val="auto"/>
                <w:w w:val="4294967286"/>
              </w:rPr>
              <w:t>$</w:t>
            </w:r>
          </w:p>
        </w:tc>
        <w:tc>
          <w:tcPr>
            <w:tcW w:w="680" w:type="dxa"/>
            <w:vAlign w:val="bottom"/>
            <w:tcBorders>
              <w:top w:val="single" w:sz="8" w:color="auto"/>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7"/>
                <w:szCs w:val="7"/>
                <w:color w:val="auto"/>
              </w:rPr>
              <w:t>3,733</w:t>
            </w:r>
          </w:p>
        </w:tc>
        <w:tc>
          <w:tcPr>
            <w:tcW w:w="1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60,090</w:t>
            </w: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7"/>
                <w:szCs w:val="7"/>
                <w:color w:val="auto"/>
              </w:rPr>
              <w:t>141,740</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10,976</w:t>
            </w: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152,716</w:t>
            </w: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
                <w:szCs w:val="1"/>
                <w:color w:val="auto"/>
                <w:w w:val="4294967286"/>
              </w:rPr>
              <w:t>$</w:t>
            </w:r>
          </w:p>
        </w:tc>
        <w:tc>
          <w:tcPr>
            <w:tcW w:w="680" w:type="dxa"/>
            <w:vAlign w:val="bottom"/>
            <w:tcBorders>
              <w:top w:val="single" w:sz="8" w:color="auto"/>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7"/>
                <w:szCs w:val="7"/>
                <w:color w:val="auto"/>
              </w:rPr>
              <w:t>140,570</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tcBorders>
              <w:top w:val="single" w:sz="8" w:color="auto"/>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7"/>
                <w:szCs w:val="7"/>
                <w:color w:val="auto"/>
              </w:rPr>
              <w:t>11,381</w:t>
            </w:r>
          </w:p>
        </w:tc>
        <w:tc>
          <w:tcPr>
            <w:tcW w:w="1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151,951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1900" w:type="dxa"/>
            <w:vAlign w:val="bottom"/>
          </w:tcPr>
          <w:p>
            <w:pPr>
              <w:ind w:left="60"/>
              <w:spacing w:after="0" w:line="112" w:lineRule="exact"/>
              <w:rPr>
                <w:sz w:val="20"/>
                <w:szCs w:val="20"/>
                <w:color w:val="auto"/>
              </w:rPr>
            </w:pPr>
            <w:r>
              <w:rPr>
                <w:rFonts w:ascii="Times New Roman" w:cs="Times New Roman" w:eastAsia="Times New Roman" w:hAnsi="Times New Roman"/>
                <w:sz w:val="7"/>
                <w:szCs w:val="7"/>
                <w:color w:val="auto"/>
              </w:rPr>
              <w:t xml:space="preserve">Inter-segment revenue </w:t>
            </w:r>
            <w:r>
              <w:rPr>
                <w:rFonts w:ascii="Times New Roman" w:cs="Times New Roman" w:eastAsia="Times New Roman" w:hAnsi="Times New Roman"/>
                <w:sz w:val="12"/>
                <w:szCs w:val="12"/>
                <w:color w:val="auto"/>
                <w:vertAlign w:val="superscript"/>
              </w:rPr>
              <w:t>(1)</w:t>
            </w:r>
          </w:p>
        </w:tc>
        <w:tc>
          <w:tcPr>
            <w:tcW w:w="1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jc w:val="right"/>
              <w:ind w:right="63"/>
              <w:spacing w:after="0"/>
              <w:rPr>
                <w:sz w:val="20"/>
                <w:szCs w:val="20"/>
                <w:color w:val="auto"/>
              </w:rPr>
            </w:pPr>
            <w:r>
              <w:rPr>
                <w:rFonts w:ascii="Times New Roman" w:cs="Times New Roman" w:eastAsia="Times New Roman" w:hAnsi="Times New Roman"/>
                <w:sz w:val="7"/>
                <w:szCs w:val="7"/>
                <w:color w:val="auto"/>
              </w:rPr>
              <w:t>952</w:t>
            </w:r>
          </w:p>
        </w:tc>
        <w:tc>
          <w:tcPr>
            <w:tcW w:w="180" w:type="dxa"/>
            <w:vAlign w:val="bottom"/>
          </w:tcPr>
          <w:p>
            <w:pPr>
              <w:spacing w:after="0"/>
              <w:rPr>
                <w:sz w:val="9"/>
                <w:szCs w:val="9"/>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7"/>
                <w:szCs w:val="7"/>
                <w:color w:val="auto"/>
              </w:rPr>
              <w:t>952</w:t>
            </w:r>
          </w:p>
        </w:tc>
        <w:tc>
          <w:tcPr>
            <w:tcW w:w="160" w:type="dxa"/>
            <w:vAlign w:val="bottom"/>
          </w:tcPr>
          <w:p>
            <w:pPr>
              <w:spacing w:after="0"/>
              <w:rPr>
                <w:sz w:val="9"/>
                <w:szCs w:val="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9"/>
                <w:szCs w:val="9"/>
                <w:color w:val="auto"/>
              </w:rPr>
            </w:pP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7"/>
                <w:szCs w:val="7"/>
                <w:color w:val="auto"/>
              </w:rPr>
              <w:t>1,165</w:t>
            </w:r>
          </w:p>
        </w:tc>
        <w:tc>
          <w:tcPr>
            <w:tcW w:w="1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1,165</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9"/>
                <w:szCs w:val="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3,089</w:t>
            </w:r>
          </w:p>
        </w:tc>
        <w:tc>
          <w:tcPr>
            <w:tcW w:w="120" w:type="dxa"/>
            <w:vAlign w:val="bottom"/>
          </w:tcPr>
          <w:p>
            <w:pPr>
              <w:spacing w:after="0"/>
              <w:rPr>
                <w:sz w:val="9"/>
                <w:szCs w:val="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3,089</w:t>
            </w:r>
          </w:p>
        </w:tc>
        <w:tc>
          <w:tcPr>
            <w:tcW w:w="140" w:type="dxa"/>
            <w:vAlign w:val="bottom"/>
          </w:tcPr>
          <w:p>
            <w:pPr>
              <w:spacing w:after="0"/>
              <w:rPr>
                <w:sz w:val="9"/>
                <w:szCs w:val="9"/>
                <w:color w:val="auto"/>
              </w:rPr>
            </w:pP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9"/>
                <w:szCs w:val="9"/>
                <w:color w:val="auto"/>
              </w:rPr>
            </w:pP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rPr>
              <w:t>3,463</w:t>
            </w:r>
          </w:p>
        </w:tc>
        <w:tc>
          <w:tcPr>
            <w:tcW w:w="1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3,463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00" w:type="dxa"/>
            <w:vAlign w:val="bottom"/>
            <w:tcBorders>
              <w:top w:val="single" w:sz="8" w:color="CCEEFF"/>
            </w:tcBorders>
            <w:shd w:val="clear" w:color="auto" w:fill="CCEEFF"/>
          </w:tcPr>
          <w:p>
            <w:pPr>
              <w:spacing w:after="0" w:line="74" w:lineRule="exact"/>
              <w:rPr>
                <w:sz w:val="20"/>
                <w:szCs w:val="20"/>
                <w:color w:val="auto"/>
              </w:rPr>
            </w:pPr>
            <w:r>
              <w:rPr>
                <w:rFonts w:ascii="Times New Roman" w:cs="Times New Roman" w:eastAsia="Times New Roman" w:hAnsi="Times New Roman"/>
                <w:sz w:val="7"/>
                <w:szCs w:val="7"/>
                <w:b w:val="1"/>
                <w:bCs w:val="1"/>
                <w:color w:val="auto"/>
              </w:rPr>
              <w:t>Total segment revenue</w:t>
            </w:r>
          </w:p>
        </w:tc>
        <w:tc>
          <w:tcPr>
            <w:tcW w:w="140" w:type="dxa"/>
            <w:vAlign w:val="bottom"/>
            <w:tcBorders>
              <w:top w:val="single" w:sz="8" w:color="auto"/>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7"/>
                <w:szCs w:val="7"/>
                <w:color w:val="auto"/>
              </w:rPr>
              <w:t>48,555</w:t>
            </w: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780" w:type="dxa"/>
            <w:vAlign w:val="bottom"/>
            <w:tcBorders>
              <w:top w:val="single" w:sz="8" w:color="auto"/>
              <w:right w:val="single" w:sz="8" w:color="CCEEFF"/>
            </w:tcBorders>
            <w:shd w:val="clear" w:color="auto" w:fill="CCEEFF"/>
          </w:tcPr>
          <w:p>
            <w:pPr>
              <w:jc w:val="right"/>
              <w:ind w:right="63"/>
              <w:spacing w:after="0" w:line="74" w:lineRule="exact"/>
              <w:rPr>
                <w:sz w:val="20"/>
                <w:szCs w:val="20"/>
                <w:color w:val="auto"/>
              </w:rPr>
            </w:pPr>
            <w:r>
              <w:rPr>
                <w:rFonts w:ascii="Times New Roman" w:cs="Times New Roman" w:eastAsia="Times New Roman" w:hAnsi="Times New Roman"/>
                <w:sz w:val="7"/>
                <w:szCs w:val="7"/>
                <w:color w:val="auto"/>
              </w:rPr>
              <w:t>4,567</w:t>
            </w:r>
          </w:p>
        </w:tc>
        <w:tc>
          <w:tcPr>
            <w:tcW w:w="180" w:type="dxa"/>
            <w:vAlign w:val="bottom"/>
            <w:tcBorders>
              <w:top w:val="single" w:sz="8" w:color="auto"/>
            </w:tcBorders>
            <w:shd w:val="clear" w:color="auto" w:fill="CCEEFF"/>
          </w:tcPr>
          <w:p>
            <w:pPr>
              <w:spacing w:after="0"/>
              <w:rPr>
                <w:sz w:val="6"/>
                <w:szCs w:val="6"/>
                <w:color w:val="auto"/>
              </w:rPr>
            </w:pPr>
          </w:p>
        </w:tc>
        <w:tc>
          <w:tcPr>
            <w:tcW w:w="700" w:type="dxa"/>
            <w:vAlign w:val="bottom"/>
            <w:tcBorders>
              <w:top w:val="single" w:sz="8" w:color="auto"/>
              <w:right w:val="single" w:sz="8" w:color="CCEEFF"/>
            </w:tcBorders>
            <w:shd w:val="clear" w:color="auto" w:fill="CCEEFF"/>
          </w:tcPr>
          <w:p>
            <w:pPr>
              <w:jc w:val="right"/>
              <w:ind w:right="43"/>
              <w:spacing w:after="0" w:line="74" w:lineRule="exact"/>
              <w:rPr>
                <w:sz w:val="20"/>
                <w:szCs w:val="20"/>
                <w:color w:val="auto"/>
              </w:rPr>
            </w:pPr>
            <w:r>
              <w:rPr>
                <w:rFonts w:ascii="Times New Roman" w:cs="Times New Roman" w:eastAsia="Times New Roman" w:hAnsi="Times New Roman"/>
                <w:sz w:val="7"/>
                <w:szCs w:val="7"/>
                <w:color w:val="auto"/>
              </w:rPr>
              <w:t>53,122</w:t>
            </w:r>
          </w:p>
        </w:tc>
        <w:tc>
          <w:tcPr>
            <w:tcW w:w="16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7"/>
                <w:szCs w:val="7"/>
                <w:color w:val="auto"/>
              </w:rPr>
              <w:t>56,357</w:t>
            </w: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auto"/>
              <w:right w:val="single" w:sz="8" w:color="CCEEFF"/>
            </w:tcBorders>
            <w:shd w:val="clear" w:color="auto" w:fill="CCEEFF"/>
          </w:tcPr>
          <w:p>
            <w:pPr>
              <w:jc w:val="right"/>
              <w:ind w:right="43"/>
              <w:spacing w:after="0" w:line="74" w:lineRule="exact"/>
              <w:rPr>
                <w:sz w:val="20"/>
                <w:szCs w:val="20"/>
                <w:color w:val="auto"/>
              </w:rPr>
            </w:pPr>
            <w:r>
              <w:rPr>
                <w:rFonts w:ascii="Times New Roman" w:cs="Times New Roman" w:eastAsia="Times New Roman" w:hAnsi="Times New Roman"/>
                <w:sz w:val="7"/>
                <w:szCs w:val="7"/>
                <w:color w:val="auto"/>
              </w:rPr>
              <w:t>4,898</w:t>
            </w:r>
          </w:p>
        </w:tc>
        <w:tc>
          <w:tcPr>
            <w:tcW w:w="180" w:type="dxa"/>
            <w:vAlign w:val="bottom"/>
            <w:tcBorders>
              <w:top w:val="single" w:sz="8" w:color="auto"/>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7"/>
                <w:szCs w:val="7"/>
                <w:color w:val="auto"/>
              </w:rPr>
              <w:t>61,255</w:t>
            </w: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580" w:type="dxa"/>
            <w:vAlign w:val="bottom"/>
            <w:tcBorders>
              <w:top w:val="single" w:sz="8" w:color="auto"/>
              <w:right w:val="single" w:sz="8" w:color="CCEEFF"/>
            </w:tcBorders>
            <w:shd w:val="clear" w:color="auto" w:fill="CCEEFF"/>
          </w:tcPr>
          <w:p>
            <w:pPr>
              <w:jc w:val="right"/>
              <w:ind w:right="23"/>
              <w:spacing w:after="0" w:line="74" w:lineRule="exact"/>
              <w:rPr>
                <w:sz w:val="20"/>
                <w:szCs w:val="20"/>
                <w:color w:val="auto"/>
              </w:rPr>
            </w:pPr>
            <w:r>
              <w:rPr>
                <w:rFonts w:ascii="Times New Roman" w:cs="Times New Roman" w:eastAsia="Times New Roman" w:hAnsi="Times New Roman"/>
                <w:sz w:val="7"/>
                <w:szCs w:val="7"/>
                <w:color w:val="auto"/>
              </w:rPr>
              <w:t>141,740</w:t>
            </w:r>
          </w:p>
        </w:tc>
        <w:tc>
          <w:tcPr>
            <w:tcW w:w="140" w:type="dxa"/>
            <w:vAlign w:val="bottom"/>
            <w:tcBorders>
              <w:top w:val="single" w:sz="8" w:color="auto"/>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7"/>
                <w:szCs w:val="7"/>
                <w:color w:val="auto"/>
              </w:rPr>
              <w:t>14,065</w:t>
            </w: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7"/>
                <w:szCs w:val="7"/>
                <w:color w:val="auto"/>
              </w:rPr>
              <w:t>155,805</w:t>
            </w: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auto"/>
              <w:right w:val="single" w:sz="8" w:color="CCEEFF"/>
            </w:tcBorders>
            <w:shd w:val="clear" w:color="auto" w:fill="CCEEFF"/>
          </w:tcPr>
          <w:p>
            <w:pPr>
              <w:jc w:val="right"/>
              <w:ind w:right="43"/>
              <w:spacing w:after="0" w:line="74" w:lineRule="exact"/>
              <w:rPr>
                <w:sz w:val="20"/>
                <w:szCs w:val="20"/>
                <w:color w:val="auto"/>
              </w:rPr>
            </w:pPr>
            <w:r>
              <w:rPr>
                <w:rFonts w:ascii="Times New Roman" w:cs="Times New Roman" w:eastAsia="Times New Roman" w:hAnsi="Times New Roman"/>
                <w:sz w:val="7"/>
                <w:szCs w:val="7"/>
                <w:color w:val="auto"/>
              </w:rPr>
              <w:t>140,570</w:t>
            </w:r>
          </w:p>
        </w:tc>
        <w:tc>
          <w:tcPr>
            <w:tcW w:w="14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right w:val="single" w:sz="8" w:color="CCEEFF"/>
            </w:tcBorders>
            <w:shd w:val="clear" w:color="auto" w:fill="CCEEFF"/>
          </w:tcPr>
          <w:p>
            <w:pPr>
              <w:jc w:val="right"/>
              <w:ind w:right="23"/>
              <w:spacing w:after="0" w:line="74" w:lineRule="exact"/>
              <w:rPr>
                <w:sz w:val="20"/>
                <w:szCs w:val="20"/>
                <w:color w:val="auto"/>
              </w:rPr>
            </w:pPr>
            <w:r>
              <w:rPr>
                <w:rFonts w:ascii="Times New Roman" w:cs="Times New Roman" w:eastAsia="Times New Roman" w:hAnsi="Times New Roman"/>
                <w:sz w:val="7"/>
                <w:szCs w:val="7"/>
                <w:color w:val="auto"/>
              </w:rPr>
              <w:t>14,844</w:t>
            </w:r>
          </w:p>
        </w:tc>
        <w:tc>
          <w:tcPr>
            <w:tcW w:w="16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7"/>
                <w:szCs w:val="7"/>
                <w:color w:val="auto"/>
              </w:rPr>
              <w:t>155,414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900" w:type="dxa"/>
            <w:vAlign w:val="bottom"/>
          </w:tcPr>
          <w:p>
            <w:pPr>
              <w:spacing w:after="0"/>
              <w:rPr>
                <w:sz w:val="20"/>
                <w:szCs w:val="20"/>
                <w:color w:val="auto"/>
              </w:rPr>
            </w:pPr>
            <w:r>
              <w:rPr>
                <w:rFonts w:ascii="Times New Roman" w:cs="Times New Roman" w:eastAsia="Times New Roman" w:hAnsi="Times New Roman"/>
                <w:sz w:val="7"/>
                <w:szCs w:val="7"/>
                <w:b w:val="1"/>
                <w:bCs w:val="1"/>
                <w:color w:val="auto"/>
              </w:rPr>
              <w:t>Operating expense</w:t>
            </w: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Operating Expense - Third Party</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(42,742)</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7"/>
                <w:szCs w:val="7"/>
                <w:color w:val="auto"/>
              </w:rPr>
              <w:t>(1,863)</w:t>
            </w:r>
          </w:p>
        </w:tc>
        <w:tc>
          <w:tcPr>
            <w:tcW w:w="180" w:type="dxa"/>
            <w:vAlign w:val="bottom"/>
            <w:shd w:val="clear" w:color="auto" w:fill="CCEEFF"/>
          </w:tcPr>
          <w:p>
            <w:pPr>
              <w:spacing w:after="0"/>
              <w:rPr>
                <w:sz w:val="7"/>
                <w:szCs w:val="7"/>
                <w:color w:val="auto"/>
              </w:rPr>
            </w:pPr>
          </w:p>
        </w:tc>
        <w:tc>
          <w:tcPr>
            <w:tcW w:w="70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7"/>
                <w:szCs w:val="7"/>
                <w:color w:val="auto"/>
              </w:rPr>
              <w:t>(44,605)</w:t>
            </w:r>
          </w:p>
        </w:tc>
        <w:tc>
          <w:tcPr>
            <w:tcW w:w="160" w:type="dxa"/>
            <w:vAlign w:val="bottom"/>
            <w:shd w:val="clear" w:color="auto" w:fill="CCEEFF"/>
          </w:tcPr>
          <w:p>
            <w:pPr>
              <w:spacing w:after="0"/>
              <w:rPr>
                <w:sz w:val="7"/>
                <w:szCs w:val="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(49,468)</w:t>
            </w:r>
          </w:p>
        </w:tc>
        <w:tc>
          <w:tcPr>
            <w:tcW w:w="40" w:type="dxa"/>
            <w:vAlign w:val="bottom"/>
            <w:shd w:val="clear" w:color="auto" w:fill="CCEEFF"/>
          </w:tcPr>
          <w:p>
            <w:pPr>
              <w:spacing w:after="0"/>
              <w:rPr>
                <w:sz w:val="7"/>
                <w:szCs w:val="7"/>
                <w:color w:val="auto"/>
              </w:rPr>
            </w:pP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7"/>
                <w:szCs w:val="7"/>
                <w:color w:val="auto"/>
              </w:rPr>
              <w:t>(2,106)</w:t>
            </w:r>
          </w:p>
        </w:tc>
        <w:tc>
          <w:tcPr>
            <w:tcW w:w="18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(51,574)</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7"/>
                <w:szCs w:val="7"/>
                <w:color w:val="auto"/>
              </w:rPr>
              <w:t>(126,203)</w:t>
            </w:r>
          </w:p>
        </w:tc>
        <w:tc>
          <w:tcPr>
            <w:tcW w:w="14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(5,658)</w:t>
            </w:r>
          </w:p>
        </w:tc>
        <w:tc>
          <w:tcPr>
            <w:tcW w:w="12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(131,861)</w:t>
            </w:r>
          </w:p>
        </w:tc>
        <w:tc>
          <w:tcPr>
            <w:tcW w:w="140" w:type="dxa"/>
            <w:vAlign w:val="bottom"/>
            <w:shd w:val="clear" w:color="auto" w:fill="CCEEFF"/>
          </w:tcPr>
          <w:p>
            <w:pPr>
              <w:spacing w:after="0"/>
              <w:rPr>
                <w:sz w:val="7"/>
                <w:szCs w:val="7"/>
                <w:color w:val="auto"/>
              </w:rPr>
            </w:pP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7"/>
                <w:szCs w:val="7"/>
                <w:color w:val="auto"/>
              </w:rPr>
              <w:t>(132,944)</w:t>
            </w:r>
          </w:p>
        </w:tc>
        <w:tc>
          <w:tcPr>
            <w:tcW w:w="140" w:type="dxa"/>
            <w:vAlign w:val="bottom"/>
            <w:shd w:val="clear" w:color="auto" w:fill="CCEEFF"/>
          </w:tcPr>
          <w:p>
            <w:pPr>
              <w:spacing w:after="0"/>
              <w:rPr>
                <w:sz w:val="7"/>
                <w:szCs w:val="7"/>
                <w:color w:val="auto"/>
              </w:rPr>
            </w:pPr>
          </w:p>
        </w:tc>
        <w:tc>
          <w:tcPr>
            <w:tcW w:w="60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7"/>
                <w:szCs w:val="7"/>
                <w:color w:val="auto"/>
              </w:rPr>
              <w:t>(6,801)</w:t>
            </w:r>
          </w:p>
        </w:tc>
        <w:tc>
          <w:tcPr>
            <w:tcW w:w="1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(139,745)</w:t>
            </w:r>
          </w:p>
        </w:tc>
        <w:tc>
          <w:tcPr>
            <w:tcW w:w="0" w:type="dxa"/>
            <w:vAlign w:val="bottom"/>
          </w:tcPr>
          <w:p>
            <w:pPr>
              <w:spacing w:after="0"/>
              <w:rPr>
                <w:sz w:val="1"/>
                <w:szCs w:val="1"/>
                <w:color w:val="auto"/>
              </w:rPr>
            </w:pPr>
          </w:p>
        </w:tc>
      </w:tr>
      <w:tr>
        <w:trPr>
          <w:trHeight w:val="112"/>
        </w:trPr>
        <w:tc>
          <w:tcPr>
            <w:tcW w:w="1900" w:type="dxa"/>
            <w:vAlign w:val="bottom"/>
          </w:tcPr>
          <w:p>
            <w:pPr>
              <w:ind w:left="60"/>
              <w:spacing w:after="0" w:line="112" w:lineRule="exact"/>
              <w:rPr>
                <w:sz w:val="20"/>
                <w:szCs w:val="20"/>
                <w:color w:val="auto"/>
              </w:rPr>
            </w:pPr>
            <w:r>
              <w:rPr>
                <w:rFonts w:ascii="Times New Roman" w:cs="Times New Roman" w:eastAsia="Times New Roman" w:hAnsi="Times New Roman"/>
                <w:sz w:val="7"/>
                <w:szCs w:val="7"/>
                <w:color w:val="auto"/>
              </w:rPr>
              <w:t xml:space="preserve">Inter-Segment Operating Expenses </w:t>
            </w:r>
            <w:r>
              <w:rPr>
                <w:rFonts w:ascii="Times New Roman" w:cs="Times New Roman" w:eastAsia="Times New Roman" w:hAnsi="Times New Roman"/>
                <w:sz w:val="12"/>
                <w:szCs w:val="12"/>
                <w:color w:val="auto"/>
                <w:vertAlign w:val="superscript"/>
              </w:rPr>
              <w:t>(1)</w:t>
            </w:r>
          </w:p>
        </w:tc>
        <w:tc>
          <w:tcPr>
            <w:tcW w:w="1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(952)</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jc w:val="right"/>
              <w:ind w:right="63"/>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9"/>
                <w:szCs w:val="9"/>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7"/>
                <w:szCs w:val="7"/>
                <w:color w:val="auto"/>
              </w:rPr>
              <w:t>(952)</w:t>
            </w:r>
          </w:p>
        </w:tc>
        <w:tc>
          <w:tcPr>
            <w:tcW w:w="160" w:type="dxa"/>
            <w:vAlign w:val="bottom"/>
          </w:tcPr>
          <w:p>
            <w:pPr>
              <w:spacing w:after="0"/>
              <w:rPr>
                <w:sz w:val="9"/>
                <w:szCs w:val="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(1,165)</w:t>
            </w:r>
          </w:p>
        </w:tc>
        <w:tc>
          <w:tcPr>
            <w:tcW w:w="40" w:type="dxa"/>
            <w:vAlign w:val="bottom"/>
          </w:tcPr>
          <w:p>
            <w:pPr>
              <w:spacing w:after="0"/>
              <w:rPr>
                <w:sz w:val="9"/>
                <w:szCs w:val="9"/>
                <w:color w:val="auto"/>
              </w:rPr>
            </w:pP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(1,165)</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rPr>
              <w:t>(3,089)</w:t>
            </w:r>
          </w:p>
        </w:tc>
        <w:tc>
          <w:tcPr>
            <w:tcW w:w="140" w:type="dxa"/>
            <w:vAlign w:val="bottom"/>
          </w:tcPr>
          <w:p>
            <w:pPr>
              <w:spacing w:after="0"/>
              <w:rPr>
                <w:sz w:val="9"/>
                <w:szCs w:val="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(3,089)</w:t>
            </w:r>
          </w:p>
        </w:tc>
        <w:tc>
          <w:tcPr>
            <w:tcW w:w="140" w:type="dxa"/>
            <w:vAlign w:val="bottom"/>
          </w:tcPr>
          <w:p>
            <w:pPr>
              <w:spacing w:after="0"/>
              <w:rPr>
                <w:sz w:val="9"/>
                <w:szCs w:val="9"/>
                <w:color w:val="auto"/>
              </w:rPr>
            </w:pP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7"/>
                <w:szCs w:val="7"/>
                <w:color w:val="auto"/>
              </w:rPr>
              <w:t>(3,463)</w:t>
            </w:r>
          </w:p>
        </w:tc>
        <w:tc>
          <w:tcPr>
            <w:tcW w:w="140" w:type="dxa"/>
            <w:vAlign w:val="bottom"/>
          </w:tcPr>
          <w:p>
            <w:pPr>
              <w:spacing w:after="0"/>
              <w:rPr>
                <w:sz w:val="9"/>
                <w:szCs w:val="9"/>
                <w:color w:val="auto"/>
              </w:rPr>
            </w:pP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7"/>
                <w:szCs w:val="7"/>
                <w:color w:val="auto"/>
              </w:rPr>
              <w:t>(3,463)</w:t>
            </w:r>
          </w:p>
        </w:tc>
        <w:tc>
          <w:tcPr>
            <w:tcW w:w="0" w:type="dxa"/>
            <w:vAlign w:val="bottom"/>
          </w:tcPr>
          <w:p>
            <w:pPr>
              <w:spacing w:after="0"/>
              <w:rPr>
                <w:sz w:val="1"/>
                <w:szCs w:val="1"/>
                <w:color w:val="auto"/>
              </w:rPr>
            </w:pPr>
          </w:p>
        </w:tc>
      </w:tr>
      <w:tr>
        <w:trPr>
          <w:trHeight w:val="36"/>
        </w:trPr>
        <w:tc>
          <w:tcPr>
            <w:tcW w:w="1900" w:type="dxa"/>
            <w:vAlign w:val="bottom"/>
            <w:tcBorders>
              <w:bottom w:val="single" w:sz="8" w:color="CCEEFF"/>
            </w:tcBorders>
            <w:shd w:val="clear" w:color="auto" w:fill="CCEEFF"/>
          </w:tcPr>
          <w:p>
            <w:pPr>
              <w:ind w:left="60"/>
              <w:spacing w:after="0" w:line="36" w:lineRule="exact"/>
              <w:rPr>
                <w:sz w:val="20"/>
                <w:szCs w:val="20"/>
                <w:color w:val="auto"/>
              </w:rPr>
            </w:pPr>
            <w:r>
              <w:rPr>
                <w:rFonts w:ascii="Times New Roman" w:cs="Times New Roman" w:eastAsia="Times New Roman" w:hAnsi="Times New Roman"/>
                <w:sz w:val="4"/>
                <w:szCs w:val="4"/>
                <w:color w:val="auto"/>
              </w:rPr>
              <w:t>Total of services and products (excluding depreciation and</w:t>
            </w:r>
          </w:p>
        </w:tc>
        <w:tc>
          <w:tcPr>
            <w:tcW w:w="140" w:type="dxa"/>
            <w:vAlign w:val="bottom"/>
            <w:tcBorders>
              <w:bottom w:val="single" w:sz="8" w:color="CCEEFF"/>
            </w:tcBorders>
            <w:shd w:val="clear" w:color="auto" w:fill="000000"/>
          </w:tcPr>
          <w:p>
            <w:pPr>
              <w:spacing w:after="0"/>
              <w:rPr>
                <w:sz w:val="3"/>
                <w:szCs w:val="3"/>
                <w:color w:val="auto"/>
              </w:rPr>
            </w:pPr>
          </w:p>
        </w:tc>
        <w:tc>
          <w:tcPr>
            <w:tcW w:w="640" w:type="dxa"/>
            <w:vAlign w:val="bottom"/>
            <w:tcBorders>
              <w:bottom w:val="single" w:sz="8" w:color="CCEEFF"/>
            </w:tcBorders>
            <w:shd w:val="clear" w:color="auto" w:fill="000000"/>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000000"/>
          </w:tcPr>
          <w:p>
            <w:pPr>
              <w:spacing w:after="0"/>
              <w:rPr>
                <w:sz w:val="3"/>
                <w:szCs w:val="3"/>
                <w:color w:val="auto"/>
              </w:rPr>
            </w:pPr>
          </w:p>
        </w:tc>
        <w:tc>
          <w:tcPr>
            <w:tcW w:w="780" w:type="dxa"/>
            <w:vAlign w:val="bottom"/>
            <w:tcBorders>
              <w:bottom w:val="single" w:sz="8" w:color="CCEEFF"/>
              <w:right w:val="single" w:sz="8" w:color="CCEEFF"/>
            </w:tcBorders>
            <w:shd w:val="clear" w:color="auto" w:fill="000000"/>
          </w:tcPr>
          <w:p>
            <w:pPr>
              <w:spacing w:after="0"/>
              <w:rPr>
                <w:sz w:val="3"/>
                <w:szCs w:val="3"/>
                <w:color w:val="auto"/>
              </w:rPr>
            </w:pPr>
          </w:p>
        </w:tc>
        <w:tc>
          <w:tcPr>
            <w:tcW w:w="180" w:type="dxa"/>
            <w:vAlign w:val="bottom"/>
            <w:tcBorders>
              <w:bottom w:val="single" w:sz="8" w:color="CCEEFF"/>
            </w:tcBorders>
            <w:shd w:val="clear" w:color="auto" w:fill="000000"/>
          </w:tcPr>
          <w:p>
            <w:pPr>
              <w:spacing w:after="0"/>
              <w:rPr>
                <w:sz w:val="3"/>
                <w:szCs w:val="3"/>
                <w:color w:val="auto"/>
              </w:rPr>
            </w:pPr>
          </w:p>
        </w:tc>
        <w:tc>
          <w:tcPr>
            <w:tcW w:w="700" w:type="dxa"/>
            <w:vAlign w:val="bottom"/>
            <w:tcBorders>
              <w:bottom w:val="single" w:sz="8" w:color="CCEEFF"/>
              <w:right w:val="single" w:sz="8" w:color="CCEEFF"/>
            </w:tcBorders>
            <w:shd w:val="clear" w:color="auto" w:fill="000000"/>
          </w:tcPr>
          <w:p>
            <w:pPr>
              <w:spacing w:after="0"/>
              <w:rPr>
                <w:sz w:val="3"/>
                <w:szCs w:val="3"/>
                <w:color w:val="auto"/>
              </w:rPr>
            </w:pPr>
          </w:p>
        </w:tc>
        <w:tc>
          <w:tcPr>
            <w:tcW w:w="160" w:type="dxa"/>
            <w:vAlign w:val="bottom"/>
            <w:tcBorders>
              <w:bottom w:val="single" w:sz="8" w:color="CCEEFF"/>
            </w:tcBorders>
            <w:shd w:val="clear" w:color="auto" w:fill="000000"/>
          </w:tcPr>
          <w:p>
            <w:pPr>
              <w:spacing w:after="0"/>
              <w:rPr>
                <w:sz w:val="3"/>
                <w:szCs w:val="3"/>
                <w:color w:val="auto"/>
              </w:rPr>
            </w:pPr>
          </w:p>
        </w:tc>
        <w:tc>
          <w:tcPr>
            <w:tcW w:w="600" w:type="dxa"/>
            <w:vAlign w:val="bottom"/>
            <w:tcBorders>
              <w:bottom w:val="single" w:sz="8" w:color="CCEEFF"/>
            </w:tcBorders>
            <w:shd w:val="clear" w:color="auto" w:fill="000000"/>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tcBorders>
            <w:shd w:val="clear" w:color="auto" w:fill="000000"/>
          </w:tcPr>
          <w:p>
            <w:pPr>
              <w:spacing w:after="0"/>
              <w:rPr>
                <w:sz w:val="3"/>
                <w:szCs w:val="3"/>
                <w:color w:val="auto"/>
              </w:rPr>
            </w:pPr>
          </w:p>
        </w:tc>
        <w:tc>
          <w:tcPr>
            <w:tcW w:w="680" w:type="dxa"/>
            <w:vAlign w:val="bottom"/>
            <w:tcBorders>
              <w:bottom w:val="single" w:sz="8" w:color="CCEEFF"/>
              <w:right w:val="single" w:sz="8" w:color="CCEEFF"/>
            </w:tcBorders>
            <w:shd w:val="clear" w:color="auto" w:fill="000000"/>
          </w:tcPr>
          <w:p>
            <w:pPr>
              <w:spacing w:after="0"/>
              <w:rPr>
                <w:sz w:val="3"/>
                <w:szCs w:val="3"/>
                <w:color w:val="auto"/>
              </w:rPr>
            </w:pPr>
          </w:p>
        </w:tc>
        <w:tc>
          <w:tcPr>
            <w:tcW w:w="180" w:type="dxa"/>
            <w:vAlign w:val="bottom"/>
            <w:tcBorders>
              <w:bottom w:val="single" w:sz="8" w:color="CCEEFF"/>
            </w:tcBorders>
            <w:shd w:val="clear" w:color="auto" w:fill="000000"/>
          </w:tcPr>
          <w:p>
            <w:pPr>
              <w:spacing w:after="0"/>
              <w:rPr>
                <w:sz w:val="3"/>
                <w:szCs w:val="3"/>
                <w:color w:val="auto"/>
              </w:rPr>
            </w:pPr>
          </w:p>
        </w:tc>
        <w:tc>
          <w:tcPr>
            <w:tcW w:w="580" w:type="dxa"/>
            <w:vAlign w:val="bottom"/>
            <w:tcBorders>
              <w:bottom w:val="single" w:sz="8" w:color="CCEEFF"/>
            </w:tcBorders>
            <w:shd w:val="clear" w:color="auto" w:fill="000000"/>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shd w:val="clear" w:color="auto" w:fill="000000"/>
          </w:tcPr>
          <w:p>
            <w:pPr>
              <w:spacing w:after="0"/>
              <w:rPr>
                <w:sz w:val="3"/>
                <w:szCs w:val="3"/>
                <w:color w:val="auto"/>
              </w:rPr>
            </w:pPr>
          </w:p>
        </w:tc>
        <w:tc>
          <w:tcPr>
            <w:tcW w:w="580" w:type="dxa"/>
            <w:vAlign w:val="bottom"/>
            <w:tcBorders>
              <w:bottom w:val="single" w:sz="8" w:color="CCEEFF"/>
              <w:right w:val="single" w:sz="8" w:color="CCEEFF"/>
            </w:tcBorders>
            <w:shd w:val="clear" w:color="auto" w:fill="000000"/>
          </w:tcPr>
          <w:p>
            <w:pPr>
              <w:spacing w:after="0"/>
              <w:rPr>
                <w:sz w:val="3"/>
                <w:szCs w:val="3"/>
                <w:color w:val="auto"/>
              </w:rPr>
            </w:pPr>
          </w:p>
        </w:tc>
        <w:tc>
          <w:tcPr>
            <w:tcW w:w="140" w:type="dxa"/>
            <w:vAlign w:val="bottom"/>
            <w:tcBorders>
              <w:bottom w:val="single" w:sz="8" w:color="CCEEFF"/>
            </w:tcBorders>
            <w:shd w:val="clear" w:color="auto" w:fill="000000"/>
          </w:tcPr>
          <w:p>
            <w:pPr>
              <w:spacing w:after="0"/>
              <w:rPr>
                <w:sz w:val="3"/>
                <w:szCs w:val="3"/>
                <w:color w:val="auto"/>
              </w:rPr>
            </w:pPr>
          </w:p>
        </w:tc>
        <w:tc>
          <w:tcPr>
            <w:tcW w:w="500" w:type="dxa"/>
            <w:vAlign w:val="bottom"/>
            <w:tcBorders>
              <w:bottom w:val="single" w:sz="8" w:color="CCEEFF"/>
            </w:tcBorders>
            <w:shd w:val="clear" w:color="auto" w:fill="000000"/>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shd w:val="clear" w:color="auto" w:fill="000000"/>
          </w:tcPr>
          <w:p>
            <w:pPr>
              <w:spacing w:after="0"/>
              <w:rPr>
                <w:sz w:val="3"/>
                <w:szCs w:val="3"/>
                <w:color w:val="auto"/>
              </w:rPr>
            </w:pPr>
          </w:p>
        </w:tc>
        <w:tc>
          <w:tcPr>
            <w:tcW w:w="500" w:type="dxa"/>
            <w:vAlign w:val="bottom"/>
            <w:tcBorders>
              <w:bottom w:val="single" w:sz="8" w:color="CCEEFF"/>
            </w:tcBorders>
            <w:shd w:val="clear" w:color="auto" w:fill="000000"/>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shd w:val="clear" w:color="auto" w:fill="000000"/>
          </w:tcPr>
          <w:p>
            <w:pPr>
              <w:spacing w:after="0"/>
              <w:rPr>
                <w:sz w:val="3"/>
                <w:szCs w:val="3"/>
                <w:color w:val="auto"/>
              </w:rPr>
            </w:pPr>
          </w:p>
        </w:tc>
        <w:tc>
          <w:tcPr>
            <w:tcW w:w="680" w:type="dxa"/>
            <w:vAlign w:val="bottom"/>
            <w:tcBorders>
              <w:bottom w:val="single" w:sz="8" w:color="CCEEFF"/>
              <w:right w:val="single" w:sz="8" w:color="CCEEFF"/>
            </w:tcBorders>
            <w:shd w:val="clear" w:color="auto" w:fill="000000"/>
          </w:tcPr>
          <w:p>
            <w:pPr>
              <w:spacing w:after="0"/>
              <w:rPr>
                <w:sz w:val="3"/>
                <w:szCs w:val="3"/>
                <w:color w:val="auto"/>
              </w:rPr>
            </w:pPr>
          </w:p>
        </w:tc>
        <w:tc>
          <w:tcPr>
            <w:tcW w:w="140" w:type="dxa"/>
            <w:vAlign w:val="bottom"/>
            <w:tcBorders>
              <w:bottom w:val="single" w:sz="8" w:color="CCEEFF"/>
            </w:tcBorders>
            <w:shd w:val="clear" w:color="auto" w:fill="000000"/>
          </w:tcPr>
          <w:p>
            <w:pPr>
              <w:spacing w:after="0"/>
              <w:rPr>
                <w:sz w:val="3"/>
                <w:szCs w:val="3"/>
                <w:color w:val="auto"/>
              </w:rPr>
            </w:pPr>
          </w:p>
        </w:tc>
        <w:tc>
          <w:tcPr>
            <w:tcW w:w="600" w:type="dxa"/>
            <w:vAlign w:val="bottom"/>
            <w:tcBorders>
              <w:bottom w:val="single" w:sz="8" w:color="CCEEFF"/>
              <w:right w:val="single" w:sz="8" w:color="CCEEFF"/>
            </w:tcBorders>
            <w:shd w:val="clear" w:color="auto" w:fill="000000"/>
          </w:tcPr>
          <w:p>
            <w:pPr>
              <w:spacing w:after="0"/>
              <w:rPr>
                <w:sz w:val="3"/>
                <w:szCs w:val="3"/>
                <w:color w:val="auto"/>
              </w:rPr>
            </w:pPr>
          </w:p>
        </w:tc>
        <w:tc>
          <w:tcPr>
            <w:tcW w:w="160" w:type="dxa"/>
            <w:vAlign w:val="bottom"/>
            <w:tcBorders>
              <w:bottom w:val="single" w:sz="8" w:color="CCEEFF"/>
            </w:tcBorders>
            <w:shd w:val="clear" w:color="auto" w:fill="000000"/>
          </w:tcPr>
          <w:p>
            <w:pPr>
              <w:spacing w:after="0"/>
              <w:rPr>
                <w:sz w:val="3"/>
                <w:szCs w:val="3"/>
                <w:color w:val="auto"/>
              </w:rPr>
            </w:pPr>
          </w:p>
        </w:tc>
        <w:tc>
          <w:tcPr>
            <w:tcW w:w="560" w:type="dxa"/>
            <w:vAlign w:val="bottom"/>
            <w:tcBorders>
              <w:bottom w:val="single" w:sz="8" w:color="CCEEFF"/>
            </w:tcBorders>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1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amortization)</w:t>
            </w: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(43,694)</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80" w:type="dxa"/>
            <w:vAlign w:val="bottom"/>
            <w:tcBorders>
              <w:right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7"/>
                <w:szCs w:val="7"/>
                <w:color w:val="auto"/>
              </w:rPr>
              <w:t>(1,863)</w:t>
            </w:r>
          </w:p>
        </w:tc>
        <w:tc>
          <w:tcPr>
            <w:tcW w:w="180" w:type="dxa"/>
            <w:vAlign w:val="bottom"/>
            <w:shd w:val="clear" w:color="auto" w:fill="CCEEFF"/>
          </w:tcPr>
          <w:p>
            <w:pPr>
              <w:spacing w:after="0"/>
              <w:rPr>
                <w:sz w:val="8"/>
                <w:szCs w:val="8"/>
                <w:color w:val="auto"/>
              </w:rPr>
            </w:pPr>
          </w:p>
        </w:tc>
        <w:tc>
          <w:tcPr>
            <w:tcW w:w="70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7"/>
                <w:szCs w:val="7"/>
                <w:color w:val="auto"/>
              </w:rPr>
              <w:t>(45,557)</w:t>
            </w:r>
          </w:p>
        </w:tc>
        <w:tc>
          <w:tcPr>
            <w:tcW w:w="1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(50,633)</w:t>
            </w:r>
          </w:p>
        </w:tc>
        <w:tc>
          <w:tcPr>
            <w:tcW w:w="40" w:type="dxa"/>
            <w:vAlign w:val="bottom"/>
            <w:shd w:val="clear" w:color="auto" w:fill="CCEEFF"/>
          </w:tcPr>
          <w:p>
            <w:pPr>
              <w:spacing w:after="0"/>
              <w:rPr>
                <w:sz w:val="8"/>
                <w:szCs w:val="8"/>
                <w:color w:val="auto"/>
              </w:rPr>
            </w:pP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7"/>
                <w:szCs w:val="7"/>
                <w:color w:val="auto"/>
              </w:rPr>
              <w:t>(2,106)</w:t>
            </w: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(52,739)</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7"/>
                <w:szCs w:val="7"/>
                <w:color w:val="auto"/>
              </w:rPr>
              <w:t>(129,292)</w:t>
            </w:r>
          </w:p>
        </w:tc>
        <w:tc>
          <w:tcPr>
            <w:tcW w:w="14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(5,658)</w:t>
            </w:r>
          </w:p>
        </w:tc>
        <w:tc>
          <w:tcPr>
            <w:tcW w:w="12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(134,950)</w:t>
            </w:r>
          </w:p>
        </w:tc>
        <w:tc>
          <w:tcPr>
            <w:tcW w:w="140" w:type="dxa"/>
            <w:vAlign w:val="bottom"/>
            <w:shd w:val="clear" w:color="auto" w:fill="CCEEFF"/>
          </w:tcPr>
          <w:p>
            <w:pPr>
              <w:spacing w:after="0"/>
              <w:rPr>
                <w:sz w:val="8"/>
                <w:szCs w:val="8"/>
                <w:color w:val="auto"/>
              </w:rPr>
            </w:pP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7"/>
                <w:szCs w:val="7"/>
                <w:color w:val="auto"/>
              </w:rPr>
              <w:t>(136,407)</w:t>
            </w: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7"/>
                <w:szCs w:val="7"/>
                <w:color w:val="auto"/>
              </w:rPr>
              <w:t>(6,801)</w:t>
            </w: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(143,208)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900" w:type="dxa"/>
            <w:vAlign w:val="bottom"/>
          </w:tcPr>
          <w:p>
            <w:pPr>
              <w:ind w:left="60"/>
              <w:spacing w:after="0"/>
              <w:rPr>
                <w:sz w:val="20"/>
                <w:szCs w:val="20"/>
                <w:color w:val="auto"/>
              </w:rPr>
            </w:pPr>
            <w:r>
              <w:rPr>
                <w:rFonts w:ascii="Times New Roman" w:cs="Times New Roman" w:eastAsia="Times New Roman" w:hAnsi="Times New Roman"/>
                <w:sz w:val="7"/>
                <w:szCs w:val="7"/>
                <w:color w:val="auto"/>
              </w:rPr>
              <w:t>Depreciation and amortization</w:t>
            </w:r>
          </w:p>
        </w:tc>
        <w:tc>
          <w:tcPr>
            <w:tcW w:w="140" w:type="dxa"/>
            <w:vAlign w:val="bottom"/>
          </w:tcPr>
          <w:p>
            <w:pPr>
              <w:spacing w:after="0"/>
              <w:rPr>
                <w:sz w:val="7"/>
                <w:szCs w:val="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(2,045)</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jc w:val="right"/>
              <w:ind w:right="63"/>
              <w:spacing w:after="0"/>
              <w:rPr>
                <w:sz w:val="20"/>
                <w:szCs w:val="20"/>
                <w:color w:val="auto"/>
              </w:rPr>
            </w:pPr>
            <w:r>
              <w:rPr>
                <w:rFonts w:ascii="Times New Roman" w:cs="Times New Roman" w:eastAsia="Times New Roman" w:hAnsi="Times New Roman"/>
                <w:sz w:val="7"/>
                <w:szCs w:val="7"/>
                <w:color w:val="auto"/>
              </w:rPr>
              <w:t>(1,115)</w:t>
            </w:r>
          </w:p>
        </w:tc>
        <w:tc>
          <w:tcPr>
            <w:tcW w:w="180" w:type="dxa"/>
            <w:vAlign w:val="bottom"/>
          </w:tcPr>
          <w:p>
            <w:pPr>
              <w:spacing w:after="0"/>
              <w:rPr>
                <w:sz w:val="7"/>
                <w:szCs w:val="7"/>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7"/>
                <w:szCs w:val="7"/>
                <w:color w:val="auto"/>
              </w:rPr>
              <w:t>(3,160)</w:t>
            </w:r>
          </w:p>
        </w:tc>
        <w:tc>
          <w:tcPr>
            <w:tcW w:w="160" w:type="dxa"/>
            <w:vAlign w:val="bottom"/>
          </w:tcPr>
          <w:p>
            <w:pPr>
              <w:spacing w:after="0"/>
              <w:rPr>
                <w:sz w:val="7"/>
                <w:szCs w:val="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(2,608)</w:t>
            </w:r>
          </w:p>
        </w:tc>
        <w:tc>
          <w:tcPr>
            <w:tcW w:w="40" w:type="dxa"/>
            <w:vAlign w:val="bottom"/>
          </w:tcPr>
          <w:p>
            <w:pPr>
              <w:spacing w:after="0"/>
              <w:rPr>
                <w:sz w:val="7"/>
                <w:szCs w:val="7"/>
                <w:color w:val="auto"/>
              </w:rPr>
            </w:pP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7"/>
                <w:szCs w:val="7"/>
                <w:color w:val="auto"/>
              </w:rPr>
              <w:t>(1,210)</w:t>
            </w:r>
          </w:p>
        </w:tc>
        <w:tc>
          <w:tcPr>
            <w:tcW w:w="18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(3,818)</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rPr>
              <w:t>(6,358)</w:t>
            </w:r>
          </w:p>
        </w:tc>
        <w:tc>
          <w:tcPr>
            <w:tcW w:w="140" w:type="dxa"/>
            <w:vAlign w:val="bottom"/>
          </w:tcPr>
          <w:p>
            <w:pPr>
              <w:spacing w:after="0"/>
              <w:rPr>
                <w:sz w:val="7"/>
                <w:szCs w:val="7"/>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(3,341)</w:t>
            </w:r>
          </w:p>
        </w:tc>
        <w:tc>
          <w:tcPr>
            <w:tcW w:w="120" w:type="dxa"/>
            <w:vAlign w:val="bottom"/>
          </w:tcPr>
          <w:p>
            <w:pPr>
              <w:spacing w:after="0"/>
              <w:rPr>
                <w:sz w:val="7"/>
                <w:szCs w:val="7"/>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(9,699)</w:t>
            </w:r>
          </w:p>
        </w:tc>
        <w:tc>
          <w:tcPr>
            <w:tcW w:w="140" w:type="dxa"/>
            <w:vAlign w:val="bottom"/>
          </w:tcPr>
          <w:p>
            <w:pPr>
              <w:spacing w:after="0"/>
              <w:rPr>
                <w:sz w:val="7"/>
                <w:szCs w:val="7"/>
                <w:color w:val="auto"/>
              </w:rPr>
            </w:pP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7"/>
                <w:szCs w:val="7"/>
                <w:color w:val="auto"/>
              </w:rPr>
              <w:t>(7,753)</w:t>
            </w:r>
          </w:p>
        </w:tc>
        <w:tc>
          <w:tcPr>
            <w:tcW w:w="140" w:type="dxa"/>
            <w:vAlign w:val="bottom"/>
          </w:tcPr>
          <w:p>
            <w:pPr>
              <w:spacing w:after="0"/>
              <w:rPr>
                <w:sz w:val="7"/>
                <w:szCs w:val="7"/>
                <w:color w:val="auto"/>
              </w:rPr>
            </w:pP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rPr>
              <w:t>(4,084)</w:t>
            </w:r>
          </w:p>
        </w:tc>
        <w:tc>
          <w:tcPr>
            <w:tcW w:w="16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(11,837)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General and administrative expense</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(1,060)</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tcBorders>
              <w:right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7"/>
                <w:szCs w:val="7"/>
                <w:color w:val="auto"/>
              </w:rPr>
              <w:t>(202)</w:t>
            </w:r>
          </w:p>
        </w:tc>
        <w:tc>
          <w:tcPr>
            <w:tcW w:w="180" w:type="dxa"/>
            <w:vAlign w:val="bottom"/>
            <w:shd w:val="clear" w:color="auto" w:fill="CCEEFF"/>
          </w:tcPr>
          <w:p>
            <w:pPr>
              <w:spacing w:after="0"/>
              <w:rPr>
                <w:sz w:val="7"/>
                <w:szCs w:val="7"/>
                <w:color w:val="auto"/>
              </w:rPr>
            </w:pPr>
          </w:p>
        </w:tc>
        <w:tc>
          <w:tcPr>
            <w:tcW w:w="70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7"/>
                <w:szCs w:val="7"/>
                <w:color w:val="auto"/>
              </w:rPr>
              <w:t>(1,262)</w:t>
            </w:r>
          </w:p>
        </w:tc>
        <w:tc>
          <w:tcPr>
            <w:tcW w:w="160" w:type="dxa"/>
            <w:vAlign w:val="bottom"/>
            <w:shd w:val="clear" w:color="auto" w:fill="CCEEFF"/>
          </w:tcPr>
          <w:p>
            <w:pPr>
              <w:spacing w:after="0"/>
              <w:rPr>
                <w:sz w:val="7"/>
                <w:szCs w:val="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(903)</w:t>
            </w:r>
          </w:p>
        </w:tc>
        <w:tc>
          <w:tcPr>
            <w:tcW w:w="40" w:type="dxa"/>
            <w:vAlign w:val="bottom"/>
            <w:shd w:val="clear" w:color="auto" w:fill="CCEEFF"/>
          </w:tcPr>
          <w:p>
            <w:pPr>
              <w:spacing w:after="0"/>
              <w:rPr>
                <w:sz w:val="7"/>
                <w:szCs w:val="7"/>
                <w:color w:val="auto"/>
              </w:rPr>
            </w:pP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7"/>
                <w:szCs w:val="7"/>
                <w:color w:val="auto"/>
              </w:rPr>
              <w:t>(186)</w:t>
            </w:r>
          </w:p>
        </w:tc>
        <w:tc>
          <w:tcPr>
            <w:tcW w:w="18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(1,089)</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7"/>
                <w:szCs w:val="7"/>
                <w:color w:val="auto"/>
              </w:rPr>
              <w:t>(3,358)</w:t>
            </w:r>
          </w:p>
        </w:tc>
        <w:tc>
          <w:tcPr>
            <w:tcW w:w="14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(605)</w:t>
            </w:r>
          </w:p>
        </w:tc>
        <w:tc>
          <w:tcPr>
            <w:tcW w:w="12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(3,963)</w:t>
            </w:r>
          </w:p>
        </w:tc>
        <w:tc>
          <w:tcPr>
            <w:tcW w:w="140" w:type="dxa"/>
            <w:vAlign w:val="bottom"/>
            <w:shd w:val="clear" w:color="auto" w:fill="CCEEFF"/>
          </w:tcPr>
          <w:p>
            <w:pPr>
              <w:spacing w:after="0"/>
              <w:rPr>
                <w:sz w:val="7"/>
                <w:szCs w:val="7"/>
                <w:color w:val="auto"/>
              </w:rPr>
            </w:pPr>
          </w:p>
        </w:tc>
        <w:tc>
          <w:tcPr>
            <w:tcW w:w="680" w:type="dxa"/>
            <w:vAlign w:val="bottom"/>
            <w:tcBorders>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7"/>
                <w:szCs w:val="7"/>
                <w:color w:val="auto"/>
              </w:rPr>
              <w:t>(2,973)</w:t>
            </w:r>
          </w:p>
        </w:tc>
        <w:tc>
          <w:tcPr>
            <w:tcW w:w="140" w:type="dxa"/>
            <w:vAlign w:val="bottom"/>
            <w:shd w:val="clear" w:color="auto" w:fill="CCEEFF"/>
          </w:tcPr>
          <w:p>
            <w:pPr>
              <w:spacing w:after="0"/>
              <w:rPr>
                <w:sz w:val="7"/>
                <w:szCs w:val="7"/>
                <w:color w:val="auto"/>
              </w:rPr>
            </w:pPr>
          </w:p>
        </w:tc>
        <w:tc>
          <w:tcPr>
            <w:tcW w:w="60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7"/>
                <w:szCs w:val="7"/>
                <w:color w:val="auto"/>
              </w:rPr>
              <w:t>(725)</w:t>
            </w:r>
          </w:p>
        </w:tc>
        <w:tc>
          <w:tcPr>
            <w:tcW w:w="16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(3,698)</w:t>
            </w:r>
          </w:p>
        </w:tc>
        <w:tc>
          <w:tcPr>
            <w:tcW w:w="0" w:type="dxa"/>
            <w:vAlign w:val="bottom"/>
          </w:tcPr>
          <w:p>
            <w:pPr>
              <w:spacing w:after="0"/>
              <w:rPr>
                <w:sz w:val="1"/>
                <w:szCs w:val="1"/>
                <w:color w:val="auto"/>
              </w:rPr>
            </w:pPr>
          </w:p>
        </w:tc>
      </w:tr>
      <w:tr>
        <w:trPr>
          <w:trHeight w:val="73"/>
        </w:trPr>
        <w:tc>
          <w:tcPr>
            <w:tcW w:w="1900" w:type="dxa"/>
            <w:vAlign w:val="bottom"/>
            <w:tcBorders>
              <w:bottom w:val="single" w:sz="8" w:color="CCEEFF"/>
            </w:tcBorders>
          </w:tcPr>
          <w:p>
            <w:pPr>
              <w:spacing w:after="0" w:line="74" w:lineRule="exact"/>
              <w:rPr>
                <w:sz w:val="20"/>
                <w:szCs w:val="20"/>
                <w:color w:val="auto"/>
              </w:rPr>
            </w:pPr>
            <w:r>
              <w:rPr>
                <w:rFonts w:ascii="Times New Roman" w:cs="Times New Roman" w:eastAsia="Times New Roman" w:hAnsi="Times New Roman"/>
                <w:sz w:val="7"/>
                <w:szCs w:val="7"/>
                <w:color w:val="auto"/>
              </w:rPr>
              <w:t>Total operating expense</w:t>
            </w:r>
          </w:p>
        </w:tc>
        <w:tc>
          <w:tcPr>
            <w:tcW w:w="140" w:type="dxa"/>
            <w:vAlign w:val="bottom"/>
            <w:tcBorders>
              <w:top w:val="single" w:sz="8" w:color="auto"/>
              <w:bottom w:val="single" w:sz="8" w:color="auto"/>
            </w:tcBorders>
          </w:tcPr>
          <w:p>
            <w:pPr>
              <w:spacing w:after="0"/>
              <w:rPr>
                <w:sz w:val="6"/>
                <w:szCs w:val="6"/>
                <w:color w:val="auto"/>
              </w:rPr>
            </w:pPr>
          </w:p>
        </w:tc>
        <w:tc>
          <w:tcPr>
            <w:tcW w:w="640" w:type="dxa"/>
            <w:vAlign w:val="bottom"/>
            <w:tcBorders>
              <w:top w:val="single" w:sz="8" w:color="auto"/>
              <w:bottom w:val="single" w:sz="8" w:color="auto"/>
            </w:tcBorders>
          </w:tcPr>
          <w:p>
            <w:pPr>
              <w:jc w:val="right"/>
              <w:spacing w:after="0" w:line="74" w:lineRule="exact"/>
              <w:rPr>
                <w:sz w:val="20"/>
                <w:szCs w:val="20"/>
                <w:color w:val="auto"/>
              </w:rPr>
            </w:pPr>
            <w:r>
              <w:rPr>
                <w:rFonts w:ascii="Times New Roman" w:cs="Times New Roman" w:eastAsia="Times New Roman" w:hAnsi="Times New Roman"/>
                <w:sz w:val="7"/>
                <w:szCs w:val="7"/>
                <w:color w:val="auto"/>
              </w:rPr>
              <w:t>(46,799)</w:t>
            </w:r>
          </w:p>
        </w:tc>
        <w:tc>
          <w:tcPr>
            <w:tcW w:w="80" w:type="dxa"/>
            <w:vAlign w:val="bottom"/>
            <w:tcBorders>
              <w:bottom w:val="single" w:sz="8" w:color="CCEEFF"/>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780" w:type="dxa"/>
            <w:vAlign w:val="bottom"/>
            <w:tcBorders>
              <w:top w:val="single" w:sz="8" w:color="auto"/>
              <w:bottom w:val="single" w:sz="8" w:color="auto"/>
            </w:tcBorders>
          </w:tcPr>
          <w:p>
            <w:pPr>
              <w:jc w:val="right"/>
              <w:ind w:right="63"/>
              <w:spacing w:after="0" w:line="74" w:lineRule="exact"/>
              <w:rPr>
                <w:sz w:val="20"/>
                <w:szCs w:val="20"/>
                <w:color w:val="auto"/>
              </w:rPr>
            </w:pPr>
            <w:r>
              <w:rPr>
                <w:rFonts w:ascii="Times New Roman" w:cs="Times New Roman" w:eastAsia="Times New Roman" w:hAnsi="Times New Roman"/>
                <w:sz w:val="7"/>
                <w:szCs w:val="7"/>
                <w:color w:val="auto"/>
              </w:rPr>
              <w:t>(3,180)</w:t>
            </w:r>
          </w:p>
        </w:tc>
        <w:tc>
          <w:tcPr>
            <w:tcW w:w="180" w:type="dxa"/>
            <w:vAlign w:val="bottom"/>
            <w:tcBorders>
              <w:top w:val="single" w:sz="8" w:color="auto"/>
              <w:bottom w:val="single" w:sz="8" w:color="auto"/>
            </w:tcBorders>
          </w:tcPr>
          <w:p>
            <w:pPr>
              <w:spacing w:after="0"/>
              <w:rPr>
                <w:sz w:val="6"/>
                <w:szCs w:val="6"/>
                <w:color w:val="auto"/>
              </w:rPr>
            </w:pPr>
          </w:p>
        </w:tc>
        <w:tc>
          <w:tcPr>
            <w:tcW w:w="700" w:type="dxa"/>
            <w:vAlign w:val="bottom"/>
            <w:tcBorders>
              <w:top w:val="single" w:sz="8" w:color="auto"/>
              <w:bottom w:val="single" w:sz="8" w:color="auto"/>
            </w:tcBorders>
          </w:tcPr>
          <w:p>
            <w:pPr>
              <w:jc w:val="right"/>
              <w:ind w:right="43"/>
              <w:spacing w:after="0" w:line="74" w:lineRule="exact"/>
              <w:rPr>
                <w:sz w:val="20"/>
                <w:szCs w:val="20"/>
                <w:color w:val="auto"/>
              </w:rPr>
            </w:pPr>
            <w:r>
              <w:rPr>
                <w:rFonts w:ascii="Times New Roman" w:cs="Times New Roman" w:eastAsia="Times New Roman" w:hAnsi="Times New Roman"/>
                <w:sz w:val="7"/>
                <w:szCs w:val="7"/>
                <w:color w:val="auto"/>
              </w:rPr>
              <w:t>(49,979)</w:t>
            </w:r>
          </w:p>
        </w:tc>
        <w:tc>
          <w:tcPr>
            <w:tcW w:w="160" w:type="dxa"/>
            <w:vAlign w:val="bottom"/>
            <w:tcBorders>
              <w:top w:val="single" w:sz="8" w:color="auto"/>
              <w:bottom w:val="single" w:sz="8" w:color="auto"/>
            </w:tcBorders>
          </w:tcPr>
          <w:p>
            <w:pPr>
              <w:spacing w:after="0"/>
              <w:rPr>
                <w:sz w:val="6"/>
                <w:szCs w:val="6"/>
                <w:color w:val="auto"/>
              </w:rPr>
            </w:pPr>
          </w:p>
        </w:tc>
        <w:tc>
          <w:tcPr>
            <w:tcW w:w="600" w:type="dxa"/>
            <w:vAlign w:val="bottom"/>
            <w:tcBorders>
              <w:top w:val="single" w:sz="8" w:color="auto"/>
              <w:bottom w:val="single" w:sz="8" w:color="auto"/>
            </w:tcBorders>
          </w:tcPr>
          <w:p>
            <w:pPr>
              <w:jc w:val="right"/>
              <w:spacing w:after="0" w:line="74" w:lineRule="exact"/>
              <w:rPr>
                <w:sz w:val="20"/>
                <w:szCs w:val="20"/>
                <w:color w:val="auto"/>
              </w:rPr>
            </w:pPr>
            <w:r>
              <w:rPr>
                <w:rFonts w:ascii="Times New Roman" w:cs="Times New Roman" w:eastAsia="Times New Roman" w:hAnsi="Times New Roman"/>
                <w:sz w:val="7"/>
                <w:szCs w:val="7"/>
                <w:color w:val="auto"/>
              </w:rPr>
              <w:t>(54,144)</w:t>
            </w:r>
          </w:p>
        </w:tc>
        <w:tc>
          <w:tcPr>
            <w:tcW w:w="100" w:type="dxa"/>
            <w:vAlign w:val="bottom"/>
            <w:tcBorders>
              <w:bottom w:val="single" w:sz="8" w:color="CCEEFF"/>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680" w:type="dxa"/>
            <w:vAlign w:val="bottom"/>
            <w:tcBorders>
              <w:top w:val="single" w:sz="8" w:color="auto"/>
              <w:bottom w:val="single" w:sz="8" w:color="auto"/>
            </w:tcBorders>
          </w:tcPr>
          <w:p>
            <w:pPr>
              <w:jc w:val="right"/>
              <w:ind w:right="43"/>
              <w:spacing w:after="0" w:line="74" w:lineRule="exact"/>
              <w:rPr>
                <w:sz w:val="20"/>
                <w:szCs w:val="20"/>
                <w:color w:val="auto"/>
              </w:rPr>
            </w:pPr>
            <w:r>
              <w:rPr>
                <w:rFonts w:ascii="Times New Roman" w:cs="Times New Roman" w:eastAsia="Times New Roman" w:hAnsi="Times New Roman"/>
                <w:sz w:val="7"/>
                <w:szCs w:val="7"/>
                <w:color w:val="auto"/>
              </w:rPr>
              <w:t>(3,502)</w:t>
            </w:r>
          </w:p>
        </w:tc>
        <w:tc>
          <w:tcPr>
            <w:tcW w:w="180" w:type="dxa"/>
            <w:vAlign w:val="bottom"/>
            <w:tcBorders>
              <w:top w:val="single" w:sz="8" w:color="auto"/>
              <w:bottom w:val="single" w:sz="8" w:color="auto"/>
            </w:tcBorders>
          </w:tcPr>
          <w:p>
            <w:pPr>
              <w:spacing w:after="0"/>
              <w:rPr>
                <w:sz w:val="6"/>
                <w:szCs w:val="6"/>
                <w:color w:val="auto"/>
              </w:rPr>
            </w:pPr>
          </w:p>
        </w:tc>
        <w:tc>
          <w:tcPr>
            <w:tcW w:w="580" w:type="dxa"/>
            <w:vAlign w:val="bottom"/>
            <w:tcBorders>
              <w:top w:val="single" w:sz="8" w:color="auto"/>
              <w:bottom w:val="single" w:sz="8" w:color="auto"/>
            </w:tcBorders>
          </w:tcPr>
          <w:p>
            <w:pPr>
              <w:jc w:val="right"/>
              <w:spacing w:after="0" w:line="74" w:lineRule="exact"/>
              <w:rPr>
                <w:sz w:val="20"/>
                <w:szCs w:val="20"/>
                <w:color w:val="auto"/>
              </w:rPr>
            </w:pPr>
            <w:r>
              <w:rPr>
                <w:rFonts w:ascii="Times New Roman" w:cs="Times New Roman" w:eastAsia="Times New Roman" w:hAnsi="Times New Roman"/>
                <w:sz w:val="7"/>
                <w:szCs w:val="7"/>
                <w:color w:val="auto"/>
              </w:rPr>
              <w:t>(57,646)</w:t>
            </w:r>
          </w:p>
        </w:tc>
        <w:tc>
          <w:tcPr>
            <w:tcW w:w="80" w:type="dxa"/>
            <w:vAlign w:val="bottom"/>
            <w:tcBorders>
              <w:bottom w:val="single" w:sz="8" w:color="CCEEFF"/>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580" w:type="dxa"/>
            <w:vAlign w:val="bottom"/>
            <w:tcBorders>
              <w:top w:val="single" w:sz="8" w:color="auto"/>
              <w:bottom w:val="single" w:sz="8" w:color="auto"/>
            </w:tcBorders>
          </w:tcPr>
          <w:p>
            <w:pPr>
              <w:jc w:val="right"/>
              <w:ind w:right="23"/>
              <w:spacing w:after="0" w:line="74" w:lineRule="exact"/>
              <w:rPr>
                <w:sz w:val="20"/>
                <w:szCs w:val="20"/>
                <w:color w:val="auto"/>
              </w:rPr>
            </w:pPr>
            <w:r>
              <w:rPr>
                <w:rFonts w:ascii="Times New Roman" w:cs="Times New Roman" w:eastAsia="Times New Roman" w:hAnsi="Times New Roman"/>
                <w:sz w:val="7"/>
                <w:szCs w:val="7"/>
                <w:color w:val="auto"/>
              </w:rPr>
              <w:t>(139,008)</w:t>
            </w:r>
          </w:p>
        </w:tc>
        <w:tc>
          <w:tcPr>
            <w:tcW w:w="14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jc w:val="right"/>
              <w:spacing w:after="0" w:line="74" w:lineRule="exact"/>
              <w:rPr>
                <w:sz w:val="20"/>
                <w:szCs w:val="20"/>
                <w:color w:val="auto"/>
              </w:rPr>
            </w:pPr>
            <w:r>
              <w:rPr>
                <w:rFonts w:ascii="Times New Roman" w:cs="Times New Roman" w:eastAsia="Times New Roman" w:hAnsi="Times New Roman"/>
                <w:sz w:val="7"/>
                <w:szCs w:val="7"/>
                <w:color w:val="auto"/>
              </w:rPr>
              <w:t>(9,604)</w:t>
            </w:r>
          </w:p>
        </w:tc>
        <w:tc>
          <w:tcPr>
            <w:tcW w:w="80" w:type="dxa"/>
            <w:vAlign w:val="bottom"/>
            <w:tcBorders>
              <w:bottom w:val="single" w:sz="8" w:color="CCEEFF"/>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500" w:type="dxa"/>
            <w:vAlign w:val="bottom"/>
            <w:tcBorders>
              <w:top w:val="single" w:sz="8" w:color="auto"/>
              <w:bottom w:val="single" w:sz="8" w:color="auto"/>
            </w:tcBorders>
          </w:tcPr>
          <w:p>
            <w:pPr>
              <w:jc w:val="right"/>
              <w:spacing w:after="0" w:line="74" w:lineRule="exact"/>
              <w:rPr>
                <w:sz w:val="20"/>
                <w:szCs w:val="20"/>
                <w:color w:val="auto"/>
              </w:rPr>
            </w:pPr>
            <w:r>
              <w:rPr>
                <w:rFonts w:ascii="Times New Roman" w:cs="Times New Roman" w:eastAsia="Times New Roman" w:hAnsi="Times New Roman"/>
                <w:sz w:val="7"/>
                <w:szCs w:val="7"/>
                <w:color w:val="auto"/>
              </w:rPr>
              <w:t>(148,612)</w:t>
            </w:r>
          </w:p>
        </w:tc>
        <w:tc>
          <w:tcPr>
            <w:tcW w:w="80" w:type="dxa"/>
            <w:vAlign w:val="bottom"/>
            <w:tcBorders>
              <w:bottom w:val="single" w:sz="8" w:color="CCEEFF"/>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680" w:type="dxa"/>
            <w:vAlign w:val="bottom"/>
            <w:tcBorders>
              <w:top w:val="single" w:sz="8" w:color="auto"/>
              <w:bottom w:val="single" w:sz="8" w:color="auto"/>
            </w:tcBorders>
          </w:tcPr>
          <w:p>
            <w:pPr>
              <w:jc w:val="right"/>
              <w:ind w:right="43"/>
              <w:spacing w:after="0" w:line="74" w:lineRule="exact"/>
              <w:rPr>
                <w:sz w:val="20"/>
                <w:szCs w:val="20"/>
                <w:color w:val="auto"/>
              </w:rPr>
            </w:pPr>
            <w:r>
              <w:rPr>
                <w:rFonts w:ascii="Times New Roman" w:cs="Times New Roman" w:eastAsia="Times New Roman" w:hAnsi="Times New Roman"/>
                <w:sz w:val="7"/>
                <w:szCs w:val="7"/>
                <w:color w:val="auto"/>
              </w:rPr>
              <w:t>(147,133)</w:t>
            </w:r>
          </w:p>
        </w:tc>
        <w:tc>
          <w:tcPr>
            <w:tcW w:w="140" w:type="dxa"/>
            <w:vAlign w:val="bottom"/>
            <w:tcBorders>
              <w:top w:val="single" w:sz="8" w:color="auto"/>
              <w:bottom w:val="single" w:sz="8" w:color="auto"/>
            </w:tcBorders>
          </w:tcPr>
          <w:p>
            <w:pPr>
              <w:spacing w:after="0"/>
              <w:rPr>
                <w:sz w:val="6"/>
                <w:szCs w:val="6"/>
                <w:color w:val="auto"/>
              </w:rPr>
            </w:pPr>
          </w:p>
        </w:tc>
        <w:tc>
          <w:tcPr>
            <w:tcW w:w="600" w:type="dxa"/>
            <w:vAlign w:val="bottom"/>
            <w:tcBorders>
              <w:top w:val="single" w:sz="8" w:color="auto"/>
              <w:bottom w:val="single" w:sz="8" w:color="auto"/>
            </w:tcBorders>
          </w:tcPr>
          <w:p>
            <w:pPr>
              <w:jc w:val="right"/>
              <w:ind w:right="23"/>
              <w:spacing w:after="0" w:line="74" w:lineRule="exact"/>
              <w:rPr>
                <w:sz w:val="20"/>
                <w:szCs w:val="20"/>
                <w:color w:val="auto"/>
              </w:rPr>
            </w:pPr>
            <w:r>
              <w:rPr>
                <w:rFonts w:ascii="Times New Roman" w:cs="Times New Roman" w:eastAsia="Times New Roman" w:hAnsi="Times New Roman"/>
                <w:sz w:val="7"/>
                <w:szCs w:val="7"/>
                <w:color w:val="auto"/>
              </w:rPr>
              <w:t>(11,610)</w:t>
            </w:r>
          </w:p>
        </w:tc>
        <w:tc>
          <w:tcPr>
            <w:tcW w:w="160" w:type="dxa"/>
            <w:vAlign w:val="bottom"/>
            <w:tcBorders>
              <w:top w:val="single" w:sz="8" w:color="auto"/>
              <w:bottom w:val="single" w:sz="8" w:color="auto"/>
            </w:tcBorders>
          </w:tcPr>
          <w:p>
            <w:pPr>
              <w:spacing w:after="0"/>
              <w:rPr>
                <w:sz w:val="6"/>
                <w:szCs w:val="6"/>
                <w:color w:val="auto"/>
              </w:rPr>
            </w:pPr>
          </w:p>
        </w:tc>
        <w:tc>
          <w:tcPr>
            <w:tcW w:w="560" w:type="dxa"/>
            <w:vAlign w:val="bottom"/>
            <w:tcBorders>
              <w:top w:val="single" w:sz="8" w:color="auto"/>
              <w:bottom w:val="single" w:sz="8" w:color="auto"/>
            </w:tcBorders>
          </w:tcPr>
          <w:p>
            <w:pPr>
              <w:jc w:val="right"/>
              <w:spacing w:after="0" w:line="74" w:lineRule="exact"/>
              <w:rPr>
                <w:sz w:val="20"/>
                <w:szCs w:val="20"/>
                <w:color w:val="auto"/>
              </w:rPr>
            </w:pPr>
            <w:r>
              <w:rPr>
                <w:rFonts w:ascii="Times New Roman" w:cs="Times New Roman" w:eastAsia="Times New Roman" w:hAnsi="Times New Roman"/>
                <w:sz w:val="7"/>
                <w:szCs w:val="7"/>
                <w:color w:val="auto"/>
              </w:rPr>
              <w:t>(158,743)</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1900" w:type="dxa"/>
            <w:vAlign w:val="bottom"/>
            <w:tcBorders>
              <w:bottom w:val="single" w:sz="8" w:color="CCEEFF"/>
            </w:tcBorders>
            <w:shd w:val="clear" w:color="auto" w:fill="CCEEFF"/>
          </w:tcPr>
          <w:p>
            <w:pPr>
              <w:spacing w:after="0" w:line="74" w:lineRule="exact"/>
              <w:rPr>
                <w:sz w:val="20"/>
                <w:szCs w:val="20"/>
                <w:color w:val="auto"/>
              </w:rPr>
            </w:pPr>
            <w:r>
              <w:rPr>
                <w:rFonts w:ascii="Times New Roman" w:cs="Times New Roman" w:eastAsia="Times New Roman" w:hAnsi="Times New Roman"/>
                <w:sz w:val="7"/>
                <w:szCs w:val="7"/>
                <w:b w:val="1"/>
                <w:bCs w:val="1"/>
                <w:color w:val="auto"/>
              </w:rPr>
              <w:t>Segment operating income (loss)</w:t>
            </w:r>
          </w:p>
        </w:tc>
        <w:tc>
          <w:tcPr>
            <w:tcW w:w="1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40" w:type="dxa"/>
            <w:vAlign w:val="bottom"/>
            <w:tcBorders>
              <w:bottom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7"/>
                <w:szCs w:val="7"/>
                <w:b w:val="1"/>
                <w:bCs w:val="1"/>
                <w:color w:val="auto"/>
              </w:rPr>
              <w:t>1,756</w:t>
            </w:r>
          </w:p>
        </w:tc>
        <w:tc>
          <w:tcPr>
            <w:tcW w:w="8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80" w:type="dxa"/>
            <w:vAlign w:val="bottom"/>
            <w:tcBorders>
              <w:bottom w:val="single" w:sz="8" w:color="auto"/>
              <w:right w:val="single" w:sz="8" w:color="CCEEFF"/>
            </w:tcBorders>
            <w:shd w:val="clear" w:color="auto" w:fill="CCEEFF"/>
          </w:tcPr>
          <w:p>
            <w:pPr>
              <w:jc w:val="right"/>
              <w:ind w:right="63"/>
              <w:spacing w:after="0" w:line="74" w:lineRule="exact"/>
              <w:rPr>
                <w:sz w:val="20"/>
                <w:szCs w:val="20"/>
                <w:color w:val="auto"/>
              </w:rPr>
            </w:pPr>
            <w:r>
              <w:rPr>
                <w:rFonts w:ascii="Times New Roman" w:cs="Times New Roman" w:eastAsia="Times New Roman" w:hAnsi="Times New Roman"/>
                <w:sz w:val="7"/>
                <w:szCs w:val="7"/>
                <w:b w:val="1"/>
                <w:bCs w:val="1"/>
                <w:color w:val="auto"/>
              </w:rPr>
              <w:t>1,387</w:t>
            </w:r>
          </w:p>
        </w:tc>
        <w:tc>
          <w:tcPr>
            <w:tcW w:w="1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700" w:type="dxa"/>
            <w:vAlign w:val="bottom"/>
            <w:tcBorders>
              <w:bottom w:val="single" w:sz="8" w:color="auto"/>
              <w:right w:val="single" w:sz="8" w:color="CCEEFF"/>
            </w:tcBorders>
            <w:shd w:val="clear" w:color="auto" w:fill="CCEEFF"/>
          </w:tcPr>
          <w:p>
            <w:pPr>
              <w:jc w:val="right"/>
              <w:ind w:right="43"/>
              <w:spacing w:after="0" w:line="74" w:lineRule="exact"/>
              <w:rPr>
                <w:sz w:val="20"/>
                <w:szCs w:val="20"/>
                <w:color w:val="auto"/>
              </w:rPr>
            </w:pPr>
            <w:r>
              <w:rPr>
                <w:rFonts w:ascii="Times New Roman" w:cs="Times New Roman" w:eastAsia="Times New Roman" w:hAnsi="Times New Roman"/>
                <w:sz w:val="7"/>
                <w:szCs w:val="7"/>
                <w:b w:val="1"/>
                <w:bCs w:val="1"/>
                <w:color w:val="auto"/>
              </w:rPr>
              <w:t>3,143</w:t>
            </w:r>
          </w:p>
        </w:tc>
        <w:tc>
          <w:tcPr>
            <w:tcW w:w="1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0" w:type="dxa"/>
            <w:vAlign w:val="bottom"/>
            <w:tcBorders>
              <w:bottom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7"/>
                <w:szCs w:val="7"/>
                <w:b w:val="1"/>
                <w:bCs w:val="1"/>
                <w:color w:val="auto"/>
              </w:rPr>
              <w:t>2,213</w:t>
            </w:r>
          </w:p>
        </w:tc>
        <w:tc>
          <w:tcPr>
            <w:tcW w:w="10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680" w:type="dxa"/>
            <w:vAlign w:val="bottom"/>
            <w:tcBorders>
              <w:bottom w:val="single" w:sz="8" w:color="auto"/>
              <w:right w:val="single" w:sz="8" w:color="CCEEFF"/>
            </w:tcBorders>
            <w:shd w:val="clear" w:color="auto" w:fill="CCEEFF"/>
          </w:tcPr>
          <w:p>
            <w:pPr>
              <w:jc w:val="right"/>
              <w:ind w:right="43"/>
              <w:spacing w:after="0" w:line="74" w:lineRule="exact"/>
              <w:rPr>
                <w:sz w:val="20"/>
                <w:szCs w:val="20"/>
                <w:color w:val="auto"/>
              </w:rPr>
            </w:pPr>
            <w:r>
              <w:rPr>
                <w:rFonts w:ascii="Times New Roman" w:cs="Times New Roman" w:eastAsia="Times New Roman" w:hAnsi="Times New Roman"/>
                <w:sz w:val="7"/>
                <w:szCs w:val="7"/>
                <w:b w:val="1"/>
                <w:bCs w:val="1"/>
                <w:color w:val="auto"/>
              </w:rPr>
              <w:t>1,396</w:t>
            </w:r>
          </w:p>
        </w:tc>
        <w:tc>
          <w:tcPr>
            <w:tcW w:w="1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80" w:type="dxa"/>
            <w:vAlign w:val="bottom"/>
            <w:tcBorders>
              <w:bottom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7"/>
                <w:szCs w:val="7"/>
                <w:b w:val="1"/>
                <w:bCs w:val="1"/>
                <w:color w:val="auto"/>
              </w:rPr>
              <w:t>3,609</w:t>
            </w:r>
          </w:p>
        </w:tc>
        <w:tc>
          <w:tcPr>
            <w:tcW w:w="8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80" w:type="dxa"/>
            <w:vAlign w:val="bottom"/>
            <w:tcBorders>
              <w:bottom w:val="single" w:sz="8" w:color="auto"/>
              <w:right w:val="single" w:sz="8" w:color="CCEEFF"/>
            </w:tcBorders>
            <w:shd w:val="clear" w:color="auto" w:fill="CCEEFF"/>
          </w:tcPr>
          <w:p>
            <w:pPr>
              <w:jc w:val="right"/>
              <w:ind w:right="23"/>
              <w:spacing w:after="0" w:line="74" w:lineRule="exact"/>
              <w:rPr>
                <w:sz w:val="20"/>
                <w:szCs w:val="20"/>
                <w:color w:val="auto"/>
              </w:rPr>
            </w:pPr>
            <w:r>
              <w:rPr>
                <w:rFonts w:ascii="Times New Roman" w:cs="Times New Roman" w:eastAsia="Times New Roman" w:hAnsi="Times New Roman"/>
                <w:sz w:val="7"/>
                <w:szCs w:val="7"/>
                <w:b w:val="1"/>
                <w:bCs w:val="1"/>
                <w:color w:val="auto"/>
              </w:rPr>
              <w:t>2,732</w:t>
            </w:r>
          </w:p>
        </w:tc>
        <w:tc>
          <w:tcPr>
            <w:tcW w:w="140" w:type="dxa"/>
            <w:vAlign w:val="bottom"/>
            <w:tcBorders>
              <w:bottom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7"/>
                <w:szCs w:val="7"/>
                <w:b w:val="1"/>
                <w:bCs w:val="1"/>
                <w:color w:val="auto"/>
              </w:rPr>
              <w:t>$</w:t>
            </w:r>
          </w:p>
        </w:tc>
        <w:tc>
          <w:tcPr>
            <w:tcW w:w="500" w:type="dxa"/>
            <w:vAlign w:val="bottom"/>
            <w:tcBorders>
              <w:bottom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7"/>
                <w:szCs w:val="7"/>
                <w:b w:val="1"/>
                <w:bCs w:val="1"/>
                <w:color w:val="auto"/>
              </w:rPr>
              <w:t>4,461</w:t>
            </w:r>
          </w:p>
        </w:tc>
        <w:tc>
          <w:tcPr>
            <w:tcW w:w="8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00" w:type="dxa"/>
            <w:vAlign w:val="bottom"/>
            <w:tcBorders>
              <w:bottom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7"/>
                <w:szCs w:val="7"/>
                <w:b w:val="1"/>
                <w:bCs w:val="1"/>
                <w:color w:val="auto"/>
              </w:rPr>
              <w:t>7,193</w:t>
            </w:r>
          </w:p>
        </w:tc>
        <w:tc>
          <w:tcPr>
            <w:tcW w:w="8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680" w:type="dxa"/>
            <w:vAlign w:val="bottom"/>
            <w:tcBorders>
              <w:bottom w:val="single" w:sz="8" w:color="auto"/>
              <w:right w:val="single" w:sz="8" w:color="CCEEFF"/>
            </w:tcBorders>
            <w:shd w:val="clear" w:color="auto" w:fill="CCEEFF"/>
          </w:tcPr>
          <w:p>
            <w:pPr>
              <w:jc w:val="right"/>
              <w:ind w:right="43"/>
              <w:spacing w:after="0" w:line="74" w:lineRule="exact"/>
              <w:rPr>
                <w:sz w:val="20"/>
                <w:szCs w:val="20"/>
                <w:color w:val="auto"/>
              </w:rPr>
            </w:pPr>
            <w:r>
              <w:rPr>
                <w:rFonts w:ascii="Times New Roman" w:cs="Times New Roman" w:eastAsia="Times New Roman" w:hAnsi="Times New Roman"/>
                <w:sz w:val="7"/>
                <w:szCs w:val="7"/>
                <w:b w:val="1"/>
                <w:bCs w:val="1"/>
                <w:color w:val="auto"/>
              </w:rPr>
              <w:t>(6,563)</w:t>
            </w:r>
          </w:p>
        </w:tc>
        <w:tc>
          <w:tcPr>
            <w:tcW w:w="140" w:type="dxa"/>
            <w:vAlign w:val="bottom"/>
            <w:tcBorders>
              <w:bottom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7"/>
                <w:szCs w:val="7"/>
                <w:b w:val="1"/>
                <w:bCs w:val="1"/>
                <w:color w:val="auto"/>
              </w:rPr>
              <w:t>$</w:t>
            </w:r>
          </w:p>
        </w:tc>
        <w:tc>
          <w:tcPr>
            <w:tcW w:w="600" w:type="dxa"/>
            <w:vAlign w:val="bottom"/>
            <w:tcBorders>
              <w:bottom w:val="single" w:sz="8" w:color="auto"/>
              <w:right w:val="single" w:sz="8" w:color="CCEEFF"/>
            </w:tcBorders>
            <w:shd w:val="clear" w:color="auto" w:fill="CCEEFF"/>
          </w:tcPr>
          <w:p>
            <w:pPr>
              <w:jc w:val="right"/>
              <w:ind w:right="23"/>
              <w:spacing w:after="0" w:line="74" w:lineRule="exact"/>
              <w:rPr>
                <w:sz w:val="20"/>
                <w:szCs w:val="20"/>
                <w:color w:val="auto"/>
              </w:rPr>
            </w:pPr>
            <w:r>
              <w:rPr>
                <w:rFonts w:ascii="Times New Roman" w:cs="Times New Roman" w:eastAsia="Times New Roman" w:hAnsi="Times New Roman"/>
                <w:sz w:val="7"/>
                <w:szCs w:val="7"/>
                <w:b w:val="1"/>
                <w:bCs w:val="1"/>
                <w:color w:val="auto"/>
              </w:rPr>
              <w:t>3,234</w:t>
            </w:r>
          </w:p>
        </w:tc>
        <w:tc>
          <w:tcPr>
            <w:tcW w:w="1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60" w:type="dxa"/>
            <w:vAlign w:val="bottom"/>
            <w:tcBorders>
              <w:bottom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7"/>
                <w:szCs w:val="7"/>
                <w:b w:val="1"/>
                <w:bCs w:val="1"/>
                <w:color w:val="auto"/>
              </w:rPr>
              <w:t>(3,329)</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(1)Inter-segment Revenues and Operating Expense relates to the internal charge between the two segments where the cinema operates within real estate owned within the group.</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248"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color w:val="auto"/>
        </w:rPr>
        <w:t>A reconciliation of cinema exhibition segment revenue to segment operating income for the quarter and nine months ended September 30, 2025 and September 30, 2024,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4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0"/>
                <w:szCs w:val="10"/>
                <w:b w:val="1"/>
                <w:bCs w:val="1"/>
                <w:color w:val="auto"/>
              </w:rPr>
              <w:t>Quarter Ended</w:t>
            </w:r>
          </w:p>
        </w:tc>
        <w:tc>
          <w:tcPr>
            <w:tcW w:w="12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2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400" w:type="dxa"/>
            <w:vAlign w:val="bottom"/>
          </w:tcPr>
          <w:p>
            <w:pPr>
              <w:spacing w:after="0" w:line="111" w:lineRule="exact"/>
              <w:rPr>
                <w:sz w:val="20"/>
                <w:szCs w:val="20"/>
                <w:color w:val="auto"/>
              </w:rPr>
            </w:pPr>
            <w:r>
              <w:rPr>
                <w:rFonts w:ascii="Times New Roman" w:cs="Times New Roman" w:eastAsia="Times New Roman" w:hAnsi="Times New Roman"/>
                <w:sz w:val="10"/>
                <w:szCs w:val="10"/>
                <w:color w:val="auto"/>
              </w:rPr>
              <w:t>(Dollars in thousands)</w:t>
            </w:r>
          </w:p>
        </w:tc>
        <w:tc>
          <w:tcPr>
            <w:tcW w:w="2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2"/>
          </w:tcPr>
          <w:p>
            <w:pPr>
              <w:ind w:left="160"/>
              <w:spacing w:after="0" w:line="111" w:lineRule="exact"/>
              <w:rPr>
                <w:sz w:val="20"/>
                <w:szCs w:val="20"/>
                <w:color w:val="auto"/>
              </w:rPr>
            </w:pPr>
            <w:r>
              <w:rPr>
                <w:rFonts w:ascii="Times New Roman" w:cs="Times New Roman" w:eastAsia="Times New Roman" w:hAnsi="Times New Roman"/>
                <w:sz w:val="10"/>
                <w:szCs w:val="10"/>
                <w:b w:val="1"/>
                <w:bCs w:val="1"/>
                <w:color w:val="auto"/>
              </w:rPr>
              <w:t>September 30, 2025</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jc w:val="right"/>
              <w:ind w:right="310"/>
              <w:spacing w:after="0" w:line="111" w:lineRule="exact"/>
              <w:rPr>
                <w:sz w:val="20"/>
                <w:szCs w:val="20"/>
                <w:color w:val="auto"/>
              </w:rPr>
            </w:pPr>
            <w:r>
              <w:rPr>
                <w:rFonts w:ascii="Times New Roman" w:cs="Times New Roman" w:eastAsia="Times New Roman" w:hAnsi="Times New Roman"/>
                <w:sz w:val="10"/>
                <w:szCs w:val="10"/>
                <w:b w:val="1"/>
                <w:bCs w:val="1"/>
                <w:color w:val="auto"/>
              </w:rPr>
              <w:t>September 30, 2024</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gridSpan w:val="2"/>
          </w:tcPr>
          <w:p>
            <w:pPr>
              <w:ind w:left="160"/>
              <w:spacing w:after="0" w:line="111" w:lineRule="exact"/>
              <w:rPr>
                <w:sz w:val="20"/>
                <w:szCs w:val="20"/>
                <w:color w:val="auto"/>
              </w:rPr>
            </w:pPr>
            <w:r>
              <w:rPr>
                <w:rFonts w:ascii="Times New Roman" w:cs="Times New Roman" w:eastAsia="Times New Roman" w:hAnsi="Times New Roman"/>
                <w:sz w:val="10"/>
                <w:szCs w:val="10"/>
                <w:b w:val="1"/>
                <w:bCs w:val="1"/>
                <w:color w:val="auto"/>
              </w:rPr>
              <w:t>September 30, 2025</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jc w:val="right"/>
              <w:ind w:right="310"/>
              <w:spacing w:after="0" w:line="111" w:lineRule="exact"/>
              <w:rPr>
                <w:sz w:val="20"/>
                <w:szCs w:val="20"/>
                <w:color w:val="auto"/>
              </w:rPr>
            </w:pPr>
            <w:r>
              <w:rPr>
                <w:rFonts w:ascii="Times New Roman" w:cs="Times New Roman" w:eastAsia="Times New Roman" w:hAnsi="Times New Roman"/>
                <w:sz w:val="10"/>
                <w:szCs w:val="10"/>
                <w:b w:val="1"/>
                <w:bCs w:val="1"/>
                <w:color w:val="auto"/>
              </w:rPr>
              <w:t>September 30, 2024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400" w:type="dxa"/>
            <w:vAlign w:val="bottom"/>
            <w:tcBorders>
              <w:top w:val="single" w:sz="8" w:color="auto"/>
            </w:tcBorders>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REVENUE</w:t>
            </w:r>
          </w:p>
        </w:tc>
        <w:tc>
          <w:tcPr>
            <w:tcW w:w="27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3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shd w:val="clear" w:color="auto" w:fill="CCEEFF"/>
          </w:tcPr>
          <w:p>
            <w:pPr>
              <w:ind w:left="280"/>
              <w:spacing w:after="0" w:line="112" w:lineRule="exact"/>
              <w:rPr>
                <w:sz w:val="20"/>
                <w:szCs w:val="20"/>
                <w:color w:val="auto"/>
              </w:rPr>
            </w:pPr>
            <w:r>
              <w:rPr>
                <w:rFonts w:ascii="Times New Roman" w:cs="Times New Roman" w:eastAsia="Times New Roman" w:hAnsi="Times New Roman"/>
                <w:sz w:val="10"/>
                <w:szCs w:val="10"/>
                <w:b w:val="1"/>
                <w:bCs w:val="1"/>
                <w:color w:val="auto"/>
              </w:rPr>
              <w:t>United States</w:t>
            </w:r>
          </w:p>
        </w:tc>
        <w:tc>
          <w:tcPr>
            <w:tcW w:w="2780" w:type="dxa"/>
            <w:vAlign w:val="bottom"/>
            <w:shd w:val="clear" w:color="auto" w:fill="CCEEFF"/>
          </w:tcPr>
          <w:p>
            <w:pPr>
              <w:ind w:left="240"/>
              <w:spacing w:after="0" w:line="112" w:lineRule="exact"/>
              <w:rPr>
                <w:sz w:val="20"/>
                <w:szCs w:val="20"/>
                <w:color w:val="auto"/>
              </w:rPr>
            </w:pPr>
            <w:r>
              <w:rPr>
                <w:rFonts w:ascii="Times New Roman" w:cs="Times New Roman" w:eastAsia="Times New Roman" w:hAnsi="Times New Roman"/>
                <w:sz w:val="10"/>
                <w:szCs w:val="10"/>
                <w:color w:val="auto"/>
              </w:rPr>
              <w:t>Admissions revenue</w:t>
            </w:r>
          </w:p>
        </w:tc>
        <w:tc>
          <w:tcPr>
            <w:tcW w:w="580" w:type="dxa"/>
            <w:vAlign w:val="bottom"/>
            <w:gridSpan w:val="2"/>
            <w:shd w:val="clear" w:color="auto" w:fill="CCEEFF"/>
          </w:tcPr>
          <w:p>
            <w:pPr>
              <w:jc w:val="right"/>
              <w:ind w:right="135"/>
              <w:spacing w:after="0" w:line="112"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13,784</w:t>
            </w:r>
          </w:p>
        </w:tc>
        <w:tc>
          <w:tcPr>
            <w:tcW w:w="8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19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15,445</w:t>
            </w: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jc w:val="right"/>
              <w:ind w:right="9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3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40,128</w:t>
            </w:r>
          </w:p>
        </w:tc>
        <w:tc>
          <w:tcPr>
            <w:tcW w:w="18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5"/>
                <w:szCs w:val="5"/>
                <w:color w:val="auto"/>
                <w:w w:val="78"/>
              </w:rPr>
              <w:t>$</w:t>
            </w:r>
          </w:p>
        </w:tc>
        <w:tc>
          <w:tcPr>
            <w:tcW w:w="12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39,368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tcPr>
          <w:p>
            <w:pPr>
              <w:spacing w:after="0"/>
              <w:rPr>
                <w:sz w:val="9"/>
                <w:szCs w:val="9"/>
                <w:color w:val="auto"/>
              </w:rPr>
            </w:pPr>
          </w:p>
        </w:tc>
        <w:tc>
          <w:tcPr>
            <w:tcW w:w="2780" w:type="dxa"/>
            <w:vAlign w:val="bottom"/>
          </w:tcPr>
          <w:p>
            <w:pPr>
              <w:ind w:left="240"/>
              <w:spacing w:after="0" w:line="112" w:lineRule="exact"/>
              <w:rPr>
                <w:sz w:val="20"/>
                <w:szCs w:val="20"/>
                <w:color w:val="auto"/>
              </w:rPr>
            </w:pPr>
            <w:r>
              <w:rPr>
                <w:rFonts w:ascii="Times New Roman" w:cs="Times New Roman" w:eastAsia="Times New Roman" w:hAnsi="Times New Roman"/>
                <w:sz w:val="10"/>
                <w:szCs w:val="10"/>
                <w:color w:val="auto"/>
              </w:rPr>
              <w:t>Concessions revenue</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9,276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9,824</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26,659</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24,237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shd w:val="clear" w:color="auto" w:fill="CCEEFF"/>
          </w:tcPr>
          <w:p>
            <w:pPr>
              <w:spacing w:after="0"/>
              <w:rPr>
                <w:sz w:val="9"/>
                <w:szCs w:val="9"/>
                <w:color w:val="auto"/>
              </w:rPr>
            </w:pPr>
          </w:p>
        </w:tc>
        <w:tc>
          <w:tcPr>
            <w:tcW w:w="2780" w:type="dxa"/>
            <w:vAlign w:val="bottom"/>
            <w:shd w:val="clear" w:color="auto" w:fill="CCEEFF"/>
          </w:tcPr>
          <w:p>
            <w:pPr>
              <w:ind w:left="240"/>
              <w:spacing w:after="0" w:line="112" w:lineRule="exact"/>
              <w:rPr>
                <w:sz w:val="20"/>
                <w:szCs w:val="20"/>
                <w:color w:val="auto"/>
              </w:rPr>
            </w:pPr>
            <w:r>
              <w:rPr>
                <w:rFonts w:ascii="Times New Roman" w:cs="Times New Roman" w:eastAsia="Times New Roman" w:hAnsi="Times New Roman"/>
                <w:sz w:val="10"/>
                <w:szCs w:val="10"/>
                <w:color w:val="auto"/>
              </w:rPr>
              <w:t>Advertising and other revenue</w:t>
            </w:r>
          </w:p>
        </w:tc>
        <w:tc>
          <w:tcPr>
            <w:tcW w:w="38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134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2,062</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24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2,547</w:t>
            </w:r>
          </w:p>
        </w:tc>
        <w:tc>
          <w:tcPr>
            <w:tcW w:w="18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136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6,889</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122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6,996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4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jc w:val="right"/>
              <w:ind w:right="13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25,122</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ind w:right="1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24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27,816</w:t>
            </w:r>
          </w:p>
        </w:tc>
        <w:tc>
          <w:tcPr>
            <w:tcW w:w="180" w:type="dxa"/>
            <w:vAlign w:val="bottom"/>
          </w:tcPr>
          <w:p>
            <w:pPr>
              <w:spacing w:after="0"/>
              <w:rPr>
                <w:sz w:val="8"/>
                <w:szCs w:val="8"/>
                <w:color w:val="auto"/>
              </w:rPr>
            </w:pPr>
          </w:p>
        </w:tc>
        <w:tc>
          <w:tcPr>
            <w:tcW w:w="200" w:type="dxa"/>
            <w:vAlign w:val="bottom"/>
          </w:tcPr>
          <w:p>
            <w:pPr>
              <w:jc w:val="right"/>
              <w:ind w:right="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36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73,676</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jc w:val="right"/>
              <w:ind w:right="294"/>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122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70,601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400" w:type="dxa"/>
            <w:vAlign w:val="bottom"/>
            <w:shd w:val="clear" w:color="auto" w:fill="CCEEFF"/>
          </w:tcPr>
          <w:p>
            <w:pPr>
              <w:spacing w:after="0"/>
              <w:rPr>
                <w:sz w:val="9"/>
                <w:szCs w:val="9"/>
                <w:color w:val="auto"/>
              </w:rPr>
            </w:pPr>
          </w:p>
        </w:tc>
        <w:tc>
          <w:tcPr>
            <w:tcW w:w="27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tcPr>
          <w:p>
            <w:pPr>
              <w:ind w:left="280"/>
              <w:spacing w:after="0" w:line="112" w:lineRule="exact"/>
              <w:rPr>
                <w:sz w:val="20"/>
                <w:szCs w:val="20"/>
                <w:color w:val="auto"/>
              </w:rPr>
            </w:pPr>
            <w:r>
              <w:rPr>
                <w:rFonts w:ascii="Times New Roman" w:cs="Times New Roman" w:eastAsia="Times New Roman" w:hAnsi="Times New Roman"/>
                <w:sz w:val="10"/>
                <w:szCs w:val="10"/>
                <w:b w:val="1"/>
                <w:bCs w:val="1"/>
                <w:color w:val="auto"/>
              </w:rPr>
              <w:t>Australia</w:t>
            </w:r>
          </w:p>
        </w:tc>
        <w:tc>
          <w:tcPr>
            <w:tcW w:w="2780" w:type="dxa"/>
            <w:vAlign w:val="bottom"/>
          </w:tcPr>
          <w:p>
            <w:pPr>
              <w:ind w:left="240"/>
              <w:spacing w:after="0" w:line="112" w:lineRule="exact"/>
              <w:rPr>
                <w:sz w:val="20"/>
                <w:szCs w:val="20"/>
                <w:color w:val="auto"/>
              </w:rPr>
            </w:pPr>
            <w:r>
              <w:rPr>
                <w:rFonts w:ascii="Times New Roman" w:cs="Times New Roman" w:eastAsia="Times New Roman" w:hAnsi="Times New Roman"/>
                <w:sz w:val="10"/>
                <w:szCs w:val="10"/>
                <w:color w:val="auto"/>
              </w:rPr>
              <w:t>Admissions revenue</w:t>
            </w:r>
          </w:p>
        </w:tc>
        <w:tc>
          <w:tcPr>
            <w:tcW w:w="580" w:type="dxa"/>
            <w:vAlign w:val="bottom"/>
            <w:gridSpan w:val="2"/>
          </w:tcPr>
          <w:p>
            <w:pPr>
              <w:jc w:val="right"/>
              <w:ind w:right="135"/>
              <w:spacing w:after="0" w:line="112"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12,396</w:t>
            </w:r>
          </w:p>
        </w:tc>
        <w:tc>
          <w:tcPr>
            <w:tcW w:w="80" w:type="dxa"/>
            <w:vAlign w:val="bottom"/>
          </w:tcPr>
          <w:p>
            <w:pPr>
              <w:spacing w:after="0"/>
              <w:rPr>
                <w:sz w:val="9"/>
                <w:szCs w:val="9"/>
                <w:color w:val="auto"/>
              </w:rPr>
            </w:pPr>
          </w:p>
        </w:tc>
        <w:tc>
          <w:tcPr>
            <w:tcW w:w="400" w:type="dxa"/>
            <w:vAlign w:val="bottom"/>
            <w:gridSpan w:val="2"/>
          </w:tcPr>
          <w:p>
            <w:pPr>
              <w:jc w:val="right"/>
              <w:ind w:right="19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14,445</w:t>
            </w:r>
          </w:p>
        </w:tc>
        <w:tc>
          <w:tcPr>
            <w:tcW w:w="180" w:type="dxa"/>
            <w:vAlign w:val="bottom"/>
          </w:tcPr>
          <w:p>
            <w:pPr>
              <w:spacing w:after="0"/>
              <w:rPr>
                <w:sz w:val="9"/>
                <w:szCs w:val="9"/>
                <w:color w:val="auto"/>
              </w:rPr>
            </w:pPr>
          </w:p>
        </w:tc>
        <w:tc>
          <w:tcPr>
            <w:tcW w:w="200" w:type="dxa"/>
            <w:vAlign w:val="bottom"/>
          </w:tcPr>
          <w:p>
            <w:pPr>
              <w:jc w:val="right"/>
              <w:ind w:right="9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3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36,301</w:t>
            </w:r>
          </w:p>
        </w:tc>
        <w:tc>
          <w:tcPr>
            <w:tcW w:w="180" w:type="dxa"/>
            <w:vAlign w:val="bottom"/>
          </w:tcPr>
          <w:p>
            <w:pPr>
              <w:spacing w:after="0"/>
              <w:rPr>
                <w:sz w:val="9"/>
                <w:szCs w:val="9"/>
                <w:color w:val="auto"/>
              </w:rPr>
            </w:pPr>
          </w:p>
        </w:tc>
        <w:tc>
          <w:tcPr>
            <w:tcW w:w="340" w:type="dxa"/>
            <w:vAlign w:val="bottom"/>
            <w:gridSpan w:val="2"/>
          </w:tcPr>
          <w:p>
            <w:pPr>
              <w:jc w:val="right"/>
              <w:ind w:right="294"/>
              <w:spacing w:after="0"/>
              <w:rPr>
                <w:sz w:val="20"/>
                <w:szCs w:val="20"/>
                <w:color w:val="auto"/>
              </w:rPr>
            </w:pPr>
            <w:r>
              <w:rPr>
                <w:rFonts w:ascii="Times New Roman" w:cs="Times New Roman" w:eastAsia="Times New Roman" w:hAnsi="Times New Roman"/>
                <w:sz w:val="5"/>
                <w:szCs w:val="5"/>
                <w:color w:val="auto"/>
                <w:w w:val="78"/>
              </w:rPr>
              <w:t>$</w:t>
            </w:r>
          </w:p>
        </w:tc>
        <w:tc>
          <w:tcPr>
            <w:tcW w:w="12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35,559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shd w:val="clear" w:color="auto" w:fill="CCEEFF"/>
          </w:tcPr>
          <w:p>
            <w:pPr>
              <w:spacing w:after="0"/>
              <w:rPr>
                <w:sz w:val="9"/>
                <w:szCs w:val="9"/>
                <w:color w:val="auto"/>
              </w:rPr>
            </w:pPr>
          </w:p>
        </w:tc>
        <w:tc>
          <w:tcPr>
            <w:tcW w:w="2780" w:type="dxa"/>
            <w:vAlign w:val="bottom"/>
            <w:shd w:val="clear" w:color="auto" w:fill="CCEEFF"/>
          </w:tcPr>
          <w:p>
            <w:pPr>
              <w:ind w:left="240"/>
              <w:spacing w:after="0" w:line="112" w:lineRule="exact"/>
              <w:rPr>
                <w:sz w:val="20"/>
                <w:szCs w:val="20"/>
                <w:color w:val="auto"/>
              </w:rPr>
            </w:pPr>
            <w:r>
              <w:rPr>
                <w:rFonts w:ascii="Times New Roman" w:cs="Times New Roman" w:eastAsia="Times New Roman" w:hAnsi="Times New Roman"/>
                <w:sz w:val="10"/>
                <w:szCs w:val="10"/>
                <w:color w:val="auto"/>
              </w:rPr>
              <w:t>Concessions revenue</w:t>
            </w: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6,459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8,691</w:t>
            </w: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18,528</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20,805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tcBorders>
              <w:bottom w:val="single" w:sz="8" w:color="CCEEFF"/>
            </w:tcBorders>
          </w:tcPr>
          <w:p>
            <w:pPr>
              <w:spacing w:after="0"/>
              <w:rPr>
                <w:sz w:val="9"/>
                <w:szCs w:val="9"/>
                <w:color w:val="auto"/>
              </w:rPr>
            </w:pPr>
          </w:p>
        </w:tc>
        <w:tc>
          <w:tcPr>
            <w:tcW w:w="2780" w:type="dxa"/>
            <w:vAlign w:val="bottom"/>
            <w:tcBorders>
              <w:bottom w:val="single" w:sz="8" w:color="CCEEFF"/>
            </w:tcBorders>
          </w:tcPr>
          <w:p>
            <w:pPr>
              <w:ind w:left="240"/>
              <w:spacing w:after="0" w:line="112" w:lineRule="exact"/>
              <w:rPr>
                <w:sz w:val="20"/>
                <w:szCs w:val="20"/>
                <w:color w:val="auto"/>
              </w:rPr>
            </w:pPr>
            <w:r>
              <w:rPr>
                <w:rFonts w:ascii="Times New Roman" w:cs="Times New Roman" w:eastAsia="Times New Roman" w:hAnsi="Times New Roman"/>
                <w:sz w:val="10"/>
                <w:szCs w:val="10"/>
                <w:color w:val="auto"/>
              </w:rPr>
              <w:t>Advertising and other revenue</w:t>
            </w:r>
          </w:p>
        </w:tc>
        <w:tc>
          <w:tcPr>
            <w:tcW w:w="3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1,657</w:t>
            </w:r>
          </w:p>
        </w:tc>
        <w:tc>
          <w:tcPr>
            <w:tcW w:w="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1,609</w:t>
            </w:r>
          </w:p>
        </w:tc>
        <w:tc>
          <w:tcPr>
            <w:tcW w:w="1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4,274</w:t>
            </w:r>
          </w:p>
        </w:tc>
        <w:tc>
          <w:tcPr>
            <w:tcW w:w="1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4,248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400" w:type="dxa"/>
            <w:vAlign w:val="bottom"/>
            <w:shd w:val="clear" w:color="auto" w:fill="CCEEFF"/>
          </w:tcPr>
          <w:p>
            <w:pPr>
              <w:spacing w:after="0"/>
              <w:rPr>
                <w:sz w:val="8"/>
                <w:szCs w:val="8"/>
                <w:color w:val="auto"/>
              </w:rPr>
            </w:pPr>
          </w:p>
        </w:tc>
        <w:tc>
          <w:tcPr>
            <w:tcW w:w="27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20,512</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jc w:val="right"/>
              <w:ind w:right="1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2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24,745</w:t>
            </w:r>
          </w:p>
        </w:tc>
        <w:tc>
          <w:tcPr>
            <w:tcW w:w="180" w:type="dxa"/>
            <w:vAlign w:val="bottom"/>
            <w:shd w:val="clear" w:color="auto" w:fill="CCEEFF"/>
          </w:tcPr>
          <w:p>
            <w:pPr>
              <w:spacing w:after="0"/>
              <w:rPr>
                <w:sz w:val="8"/>
                <w:szCs w:val="8"/>
                <w:color w:val="auto"/>
              </w:rPr>
            </w:pPr>
          </w:p>
        </w:tc>
        <w:tc>
          <w:tcPr>
            <w:tcW w:w="200" w:type="dxa"/>
            <w:vAlign w:val="bottom"/>
            <w:shd w:val="clear" w:color="auto" w:fill="CCEEFF"/>
          </w:tcPr>
          <w:p>
            <w:pPr>
              <w:jc w:val="right"/>
              <w:ind w:right="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3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59,103</w:t>
            </w: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12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60,612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4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shd w:val="clear" w:color="auto" w:fill="CCEEFF"/>
          </w:tcPr>
          <w:p>
            <w:pPr>
              <w:ind w:left="280"/>
              <w:spacing w:after="0" w:line="112" w:lineRule="exact"/>
              <w:rPr>
                <w:sz w:val="20"/>
                <w:szCs w:val="20"/>
                <w:color w:val="auto"/>
              </w:rPr>
            </w:pPr>
            <w:r>
              <w:rPr>
                <w:rFonts w:ascii="Times New Roman" w:cs="Times New Roman" w:eastAsia="Times New Roman" w:hAnsi="Times New Roman"/>
                <w:sz w:val="10"/>
                <w:szCs w:val="10"/>
                <w:b w:val="1"/>
                <w:bCs w:val="1"/>
                <w:color w:val="auto"/>
              </w:rPr>
              <w:t>New Zealand</w:t>
            </w:r>
          </w:p>
        </w:tc>
        <w:tc>
          <w:tcPr>
            <w:tcW w:w="2780" w:type="dxa"/>
            <w:vAlign w:val="bottom"/>
            <w:shd w:val="clear" w:color="auto" w:fill="CCEEFF"/>
          </w:tcPr>
          <w:p>
            <w:pPr>
              <w:ind w:left="240"/>
              <w:spacing w:after="0" w:line="112" w:lineRule="exact"/>
              <w:rPr>
                <w:sz w:val="20"/>
                <w:szCs w:val="20"/>
                <w:color w:val="auto"/>
              </w:rPr>
            </w:pPr>
            <w:r>
              <w:rPr>
                <w:rFonts w:ascii="Times New Roman" w:cs="Times New Roman" w:eastAsia="Times New Roman" w:hAnsi="Times New Roman"/>
                <w:sz w:val="10"/>
                <w:szCs w:val="10"/>
                <w:color w:val="auto"/>
              </w:rPr>
              <w:t>Admissions revenue</w:t>
            </w:r>
          </w:p>
        </w:tc>
        <w:tc>
          <w:tcPr>
            <w:tcW w:w="580" w:type="dxa"/>
            <w:vAlign w:val="bottom"/>
            <w:gridSpan w:val="2"/>
            <w:shd w:val="clear" w:color="auto" w:fill="CCEEFF"/>
          </w:tcPr>
          <w:p>
            <w:pPr>
              <w:jc w:val="right"/>
              <w:ind w:right="135"/>
              <w:spacing w:after="0" w:line="112"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1,836</w:t>
            </w:r>
          </w:p>
        </w:tc>
        <w:tc>
          <w:tcPr>
            <w:tcW w:w="8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19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2,215</w:t>
            </w: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jc w:val="right"/>
              <w:ind w:right="9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3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5,718</w:t>
            </w:r>
          </w:p>
        </w:tc>
        <w:tc>
          <w:tcPr>
            <w:tcW w:w="18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5"/>
                <w:szCs w:val="5"/>
                <w:color w:val="auto"/>
                <w:w w:val="78"/>
              </w:rPr>
              <w:t>$</w:t>
            </w:r>
          </w:p>
        </w:tc>
        <w:tc>
          <w:tcPr>
            <w:tcW w:w="12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5,559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tcPr>
          <w:p>
            <w:pPr>
              <w:spacing w:after="0"/>
              <w:rPr>
                <w:sz w:val="9"/>
                <w:szCs w:val="9"/>
                <w:color w:val="auto"/>
              </w:rPr>
            </w:pPr>
          </w:p>
        </w:tc>
        <w:tc>
          <w:tcPr>
            <w:tcW w:w="2780" w:type="dxa"/>
            <w:vAlign w:val="bottom"/>
          </w:tcPr>
          <w:p>
            <w:pPr>
              <w:ind w:left="240"/>
              <w:spacing w:after="0" w:line="112" w:lineRule="exact"/>
              <w:rPr>
                <w:sz w:val="20"/>
                <w:szCs w:val="20"/>
                <w:color w:val="auto"/>
              </w:rPr>
            </w:pPr>
            <w:r>
              <w:rPr>
                <w:rFonts w:ascii="Times New Roman" w:cs="Times New Roman" w:eastAsia="Times New Roman" w:hAnsi="Times New Roman"/>
                <w:sz w:val="10"/>
                <w:szCs w:val="10"/>
                <w:color w:val="auto"/>
              </w:rPr>
              <w:t>Concessions revenue</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906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1,339</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2,807</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3,262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shd w:val="clear" w:color="auto" w:fill="CCEEFF"/>
          </w:tcPr>
          <w:p>
            <w:pPr>
              <w:spacing w:after="0"/>
              <w:rPr>
                <w:sz w:val="9"/>
                <w:szCs w:val="9"/>
                <w:color w:val="auto"/>
              </w:rPr>
            </w:pPr>
          </w:p>
        </w:tc>
        <w:tc>
          <w:tcPr>
            <w:tcW w:w="2780" w:type="dxa"/>
            <w:vAlign w:val="bottom"/>
            <w:shd w:val="clear" w:color="auto" w:fill="CCEEFF"/>
          </w:tcPr>
          <w:p>
            <w:pPr>
              <w:ind w:left="240"/>
              <w:spacing w:after="0" w:line="112" w:lineRule="exact"/>
              <w:rPr>
                <w:sz w:val="20"/>
                <w:szCs w:val="20"/>
                <w:color w:val="auto"/>
              </w:rPr>
            </w:pPr>
            <w:r>
              <w:rPr>
                <w:rFonts w:ascii="Times New Roman" w:cs="Times New Roman" w:eastAsia="Times New Roman" w:hAnsi="Times New Roman"/>
                <w:sz w:val="10"/>
                <w:szCs w:val="10"/>
                <w:color w:val="auto"/>
              </w:rPr>
              <w:t>Advertising and other revenue</w:t>
            </w:r>
          </w:p>
        </w:tc>
        <w:tc>
          <w:tcPr>
            <w:tcW w:w="38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134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179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24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242</w:t>
            </w:r>
          </w:p>
        </w:tc>
        <w:tc>
          <w:tcPr>
            <w:tcW w:w="18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136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436</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122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536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4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jc w:val="right"/>
              <w:ind w:right="13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2,921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jc w:val="right"/>
              <w:ind w:right="1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24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3,796</w:t>
            </w:r>
          </w:p>
        </w:tc>
        <w:tc>
          <w:tcPr>
            <w:tcW w:w="180" w:type="dxa"/>
            <w:vAlign w:val="bottom"/>
          </w:tcPr>
          <w:p>
            <w:pPr>
              <w:spacing w:after="0"/>
              <w:rPr>
                <w:sz w:val="8"/>
                <w:szCs w:val="8"/>
                <w:color w:val="auto"/>
              </w:rPr>
            </w:pPr>
          </w:p>
        </w:tc>
        <w:tc>
          <w:tcPr>
            <w:tcW w:w="200" w:type="dxa"/>
            <w:vAlign w:val="bottom"/>
          </w:tcPr>
          <w:p>
            <w:pPr>
              <w:jc w:val="right"/>
              <w:ind w:right="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36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8,961</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jc w:val="right"/>
              <w:ind w:right="294"/>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122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9,357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400" w:type="dxa"/>
            <w:vAlign w:val="bottom"/>
            <w:tcBorders>
              <w:bottom w:val="single" w:sz="8" w:color="CCEEFF"/>
            </w:tcBorders>
            <w:shd w:val="clear" w:color="auto" w:fill="CCEEFF"/>
          </w:tcPr>
          <w:p>
            <w:pPr>
              <w:spacing w:after="0"/>
              <w:rPr>
                <w:sz w:val="11"/>
                <w:szCs w:val="11"/>
                <w:color w:val="auto"/>
              </w:rPr>
            </w:pPr>
          </w:p>
        </w:tc>
        <w:tc>
          <w:tcPr>
            <w:tcW w:w="27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34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400" w:type="dxa"/>
            <w:vAlign w:val="bottom"/>
          </w:tcPr>
          <w:p>
            <w:pPr>
              <w:ind w:left="280"/>
              <w:spacing w:after="0" w:line="91" w:lineRule="exact"/>
              <w:rPr>
                <w:sz w:val="20"/>
                <w:szCs w:val="20"/>
                <w:color w:val="auto"/>
              </w:rPr>
            </w:pPr>
            <w:r>
              <w:rPr>
                <w:rFonts w:ascii="Times New Roman" w:cs="Times New Roman" w:eastAsia="Times New Roman" w:hAnsi="Times New Roman"/>
                <w:sz w:val="10"/>
                <w:szCs w:val="10"/>
                <w:b w:val="1"/>
                <w:bCs w:val="1"/>
                <w:color w:val="auto"/>
              </w:rPr>
              <w:t>Total revenue</w:t>
            </w:r>
          </w:p>
        </w:tc>
        <w:tc>
          <w:tcPr>
            <w:tcW w:w="2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48,555</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bottom w:val="single" w:sz="8" w:color="auto"/>
            </w:tcBorders>
          </w:tcPr>
          <w:p>
            <w:pPr>
              <w:jc w:val="right"/>
              <w:ind w:right="190"/>
              <w:spacing w:after="0" w:line="9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2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56,357</w:t>
            </w:r>
          </w:p>
        </w:tc>
        <w:tc>
          <w:tcPr>
            <w:tcW w:w="180" w:type="dxa"/>
            <w:vAlign w:val="bottom"/>
          </w:tcPr>
          <w:p>
            <w:pPr>
              <w:spacing w:after="0"/>
              <w:rPr>
                <w:sz w:val="7"/>
                <w:szCs w:val="7"/>
                <w:color w:val="auto"/>
              </w:rPr>
            </w:pPr>
          </w:p>
        </w:tc>
        <w:tc>
          <w:tcPr>
            <w:tcW w:w="200" w:type="dxa"/>
            <w:vAlign w:val="bottom"/>
            <w:tcBorders>
              <w:bottom w:val="single" w:sz="8" w:color="auto"/>
            </w:tcBorders>
          </w:tcPr>
          <w:p>
            <w:pPr>
              <w:jc w:val="right"/>
              <w:ind w:right="90"/>
              <w:spacing w:after="0" w:line="9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36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141,740</w:t>
            </w: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12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140,570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4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OPERATING EXPENSE</w:t>
            </w:r>
          </w:p>
        </w:tc>
        <w:tc>
          <w:tcPr>
            <w:tcW w:w="2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b w:val="1"/>
                <w:bCs w:val="1"/>
                <w:color w:val="auto"/>
              </w:rPr>
              <w:t>United States</w:t>
            </w:r>
          </w:p>
        </w:tc>
        <w:tc>
          <w:tcPr>
            <w:tcW w:w="2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Film rent and advertising cost</w:t>
            </w:r>
          </w:p>
        </w:tc>
        <w:tc>
          <w:tcPr>
            <w:tcW w:w="5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0"/>
                <w:szCs w:val="10"/>
                <w:color w:val="auto"/>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(7,557)</w:t>
            </w:r>
          </w:p>
        </w:tc>
        <w:tc>
          <w:tcPr>
            <w:tcW w:w="4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(8,783)</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0"/>
                <w:szCs w:val="10"/>
                <w:color w:val="auto"/>
                <w:w w:val="79"/>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(21,723)</w:t>
            </w:r>
          </w:p>
        </w:tc>
        <w:tc>
          <w:tcPr>
            <w:tcW w:w="34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5"/>
                <w:szCs w:val="5"/>
                <w:color w:val="auto"/>
                <w:w w:val="7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(21,192)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400" w:type="dxa"/>
            <w:vAlign w:val="bottom"/>
          </w:tcPr>
          <w:p>
            <w:pPr>
              <w:spacing w:after="0"/>
              <w:rPr>
                <w:sz w:val="9"/>
                <w:szCs w:val="9"/>
                <w:color w:val="auto"/>
              </w:rPr>
            </w:pPr>
          </w:p>
        </w:tc>
        <w:tc>
          <w:tcPr>
            <w:tcW w:w="2780" w:type="dxa"/>
            <w:vAlign w:val="bottom"/>
          </w:tcPr>
          <w:p>
            <w:pPr>
              <w:ind w:left="240"/>
              <w:spacing w:after="0" w:line="112" w:lineRule="exact"/>
              <w:rPr>
                <w:sz w:val="20"/>
                <w:szCs w:val="20"/>
                <w:color w:val="auto"/>
              </w:rPr>
            </w:pPr>
            <w:r>
              <w:rPr>
                <w:rFonts w:ascii="Times New Roman" w:cs="Times New Roman" w:eastAsia="Times New Roman" w:hAnsi="Times New Roman"/>
                <w:sz w:val="10"/>
                <w:szCs w:val="10"/>
                <w:color w:val="auto"/>
              </w:rPr>
              <w:t>Food &amp; beverage cost</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(2,344)</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(2,632)</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(6,858)</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(6,550)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shd w:val="clear" w:color="auto" w:fill="CCEEFF"/>
          </w:tcPr>
          <w:p>
            <w:pPr>
              <w:spacing w:after="0"/>
              <w:rPr>
                <w:sz w:val="9"/>
                <w:szCs w:val="9"/>
                <w:color w:val="auto"/>
              </w:rPr>
            </w:pPr>
          </w:p>
        </w:tc>
        <w:tc>
          <w:tcPr>
            <w:tcW w:w="2780" w:type="dxa"/>
            <w:vAlign w:val="bottom"/>
            <w:shd w:val="clear" w:color="auto" w:fill="CCEEFF"/>
          </w:tcPr>
          <w:p>
            <w:pPr>
              <w:ind w:left="240"/>
              <w:spacing w:after="0" w:line="112" w:lineRule="exact"/>
              <w:rPr>
                <w:sz w:val="20"/>
                <w:szCs w:val="20"/>
                <w:color w:val="auto"/>
              </w:rPr>
            </w:pPr>
            <w:r>
              <w:rPr>
                <w:rFonts w:ascii="Times New Roman" w:cs="Times New Roman" w:eastAsia="Times New Roman" w:hAnsi="Times New Roman"/>
                <w:sz w:val="10"/>
                <w:szCs w:val="10"/>
                <w:color w:val="auto"/>
              </w:rPr>
              <w:t>Occupancy expense</w:t>
            </w: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2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(4,112)</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(5,198)</w:t>
            </w: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4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(12,499)</w:t>
            </w: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(17,530)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tcPr>
          <w:p>
            <w:pPr>
              <w:spacing w:after="0"/>
              <w:rPr>
                <w:sz w:val="9"/>
                <w:szCs w:val="9"/>
                <w:color w:val="auto"/>
              </w:rPr>
            </w:pPr>
          </w:p>
        </w:tc>
        <w:tc>
          <w:tcPr>
            <w:tcW w:w="2780" w:type="dxa"/>
            <w:vAlign w:val="bottom"/>
          </w:tcPr>
          <w:p>
            <w:pPr>
              <w:ind w:left="240"/>
              <w:spacing w:after="0" w:line="112" w:lineRule="exact"/>
              <w:rPr>
                <w:sz w:val="20"/>
                <w:szCs w:val="20"/>
                <w:color w:val="auto"/>
              </w:rPr>
            </w:pPr>
            <w:r>
              <w:rPr>
                <w:rFonts w:ascii="Times New Roman" w:cs="Times New Roman" w:eastAsia="Times New Roman" w:hAnsi="Times New Roman"/>
                <w:sz w:val="10"/>
                <w:szCs w:val="10"/>
                <w:color w:val="auto"/>
              </w:rPr>
              <w:t>Labor cost</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(4,184)</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(4,657)</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(12,477)</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(12,807)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shd w:val="clear" w:color="auto" w:fill="CCEEFF"/>
          </w:tcPr>
          <w:p>
            <w:pPr>
              <w:spacing w:after="0"/>
              <w:rPr>
                <w:sz w:val="9"/>
                <w:szCs w:val="9"/>
                <w:color w:val="auto"/>
              </w:rPr>
            </w:pPr>
          </w:p>
        </w:tc>
        <w:tc>
          <w:tcPr>
            <w:tcW w:w="2780" w:type="dxa"/>
            <w:vAlign w:val="bottom"/>
            <w:shd w:val="clear" w:color="auto" w:fill="CCEEFF"/>
          </w:tcPr>
          <w:p>
            <w:pPr>
              <w:ind w:left="240"/>
              <w:spacing w:after="0" w:line="112" w:lineRule="exact"/>
              <w:rPr>
                <w:sz w:val="20"/>
                <w:szCs w:val="20"/>
                <w:color w:val="auto"/>
              </w:rPr>
            </w:pPr>
            <w:r>
              <w:rPr>
                <w:rFonts w:ascii="Times New Roman" w:cs="Times New Roman" w:eastAsia="Times New Roman" w:hAnsi="Times New Roman"/>
                <w:sz w:val="10"/>
                <w:szCs w:val="10"/>
                <w:color w:val="auto"/>
              </w:rPr>
              <w:t>Utilities</w:t>
            </w: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2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(1,657)</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(1,957)</w:t>
            </w: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4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(4,207)</w:t>
            </w: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(4,602)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tcPr>
          <w:p>
            <w:pPr>
              <w:spacing w:after="0"/>
              <w:rPr>
                <w:sz w:val="9"/>
                <w:szCs w:val="9"/>
                <w:color w:val="auto"/>
              </w:rPr>
            </w:pPr>
          </w:p>
        </w:tc>
        <w:tc>
          <w:tcPr>
            <w:tcW w:w="2780" w:type="dxa"/>
            <w:vAlign w:val="bottom"/>
          </w:tcPr>
          <w:p>
            <w:pPr>
              <w:ind w:left="240"/>
              <w:spacing w:after="0" w:line="112" w:lineRule="exact"/>
              <w:rPr>
                <w:sz w:val="20"/>
                <w:szCs w:val="20"/>
                <w:color w:val="auto"/>
              </w:rPr>
            </w:pPr>
            <w:r>
              <w:rPr>
                <w:rFonts w:ascii="Times New Roman" w:cs="Times New Roman" w:eastAsia="Times New Roman" w:hAnsi="Times New Roman"/>
                <w:sz w:val="10"/>
                <w:szCs w:val="10"/>
                <w:color w:val="auto"/>
              </w:rPr>
              <w:t>Cleaning and maintenance</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(1,751)</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(1,914)</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(5,046)</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(4,998)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shd w:val="clear" w:color="auto" w:fill="CCEEFF"/>
          </w:tcPr>
          <w:p>
            <w:pPr>
              <w:spacing w:after="0"/>
              <w:rPr>
                <w:sz w:val="9"/>
                <w:szCs w:val="9"/>
                <w:color w:val="auto"/>
              </w:rPr>
            </w:pPr>
          </w:p>
        </w:tc>
        <w:tc>
          <w:tcPr>
            <w:tcW w:w="2780" w:type="dxa"/>
            <w:vAlign w:val="bottom"/>
            <w:shd w:val="clear" w:color="auto" w:fill="CCEEFF"/>
          </w:tcPr>
          <w:p>
            <w:pPr>
              <w:ind w:left="240"/>
              <w:spacing w:after="0" w:line="112" w:lineRule="exact"/>
              <w:rPr>
                <w:sz w:val="20"/>
                <w:szCs w:val="20"/>
                <w:color w:val="auto"/>
              </w:rPr>
            </w:pPr>
            <w:r>
              <w:rPr>
                <w:rFonts w:ascii="Times New Roman" w:cs="Times New Roman" w:eastAsia="Times New Roman" w:hAnsi="Times New Roman"/>
                <w:sz w:val="10"/>
                <w:szCs w:val="10"/>
                <w:color w:val="auto"/>
              </w:rPr>
              <w:t>Other operating expenses</w:t>
            </w: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2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(1,872)</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(1,860)</w:t>
            </w: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4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(6,339)</w:t>
            </w: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(6,078)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4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(23,477)</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top w:val="single" w:sz="8" w:color="auto"/>
            </w:tcBorders>
          </w:tcPr>
          <w:p>
            <w:pPr>
              <w:jc w:val="right"/>
              <w:ind w:right="1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24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(27,001)</w:t>
            </w:r>
          </w:p>
        </w:tc>
        <w:tc>
          <w:tcPr>
            <w:tcW w:w="180" w:type="dxa"/>
            <w:vAlign w:val="bottom"/>
          </w:tcPr>
          <w:p>
            <w:pPr>
              <w:spacing w:after="0"/>
              <w:rPr>
                <w:sz w:val="8"/>
                <w:szCs w:val="8"/>
                <w:color w:val="auto"/>
              </w:rPr>
            </w:pPr>
          </w:p>
        </w:tc>
        <w:tc>
          <w:tcPr>
            <w:tcW w:w="200" w:type="dxa"/>
            <w:vAlign w:val="bottom"/>
            <w:tcBorders>
              <w:top w:val="single" w:sz="8" w:color="auto"/>
            </w:tcBorders>
          </w:tcPr>
          <w:p>
            <w:pPr>
              <w:jc w:val="right"/>
              <w:ind w:right="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36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(69,149)</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122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(73,757)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400" w:type="dxa"/>
            <w:vAlign w:val="bottom"/>
            <w:shd w:val="clear" w:color="auto" w:fill="CCEEFF"/>
          </w:tcPr>
          <w:p>
            <w:pPr>
              <w:spacing w:after="0"/>
              <w:rPr>
                <w:sz w:val="9"/>
                <w:szCs w:val="9"/>
                <w:color w:val="auto"/>
              </w:rPr>
            </w:pPr>
          </w:p>
        </w:tc>
        <w:tc>
          <w:tcPr>
            <w:tcW w:w="27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tcPr>
          <w:p>
            <w:pPr>
              <w:ind w:left="280"/>
              <w:spacing w:after="0" w:line="112" w:lineRule="exact"/>
              <w:rPr>
                <w:sz w:val="20"/>
                <w:szCs w:val="20"/>
                <w:color w:val="auto"/>
              </w:rPr>
            </w:pPr>
            <w:r>
              <w:rPr>
                <w:rFonts w:ascii="Times New Roman" w:cs="Times New Roman" w:eastAsia="Times New Roman" w:hAnsi="Times New Roman"/>
                <w:sz w:val="10"/>
                <w:szCs w:val="10"/>
                <w:b w:val="1"/>
                <w:bCs w:val="1"/>
                <w:color w:val="auto"/>
              </w:rPr>
              <w:t>Australia</w:t>
            </w:r>
          </w:p>
        </w:tc>
        <w:tc>
          <w:tcPr>
            <w:tcW w:w="2780" w:type="dxa"/>
            <w:vAlign w:val="bottom"/>
          </w:tcPr>
          <w:p>
            <w:pPr>
              <w:ind w:left="240"/>
              <w:spacing w:after="0" w:line="112" w:lineRule="exact"/>
              <w:rPr>
                <w:sz w:val="20"/>
                <w:szCs w:val="20"/>
                <w:color w:val="auto"/>
              </w:rPr>
            </w:pPr>
            <w:r>
              <w:rPr>
                <w:rFonts w:ascii="Times New Roman" w:cs="Times New Roman" w:eastAsia="Times New Roman" w:hAnsi="Times New Roman"/>
                <w:sz w:val="10"/>
                <w:szCs w:val="10"/>
                <w:color w:val="auto"/>
              </w:rPr>
              <w:t>Film rent and advertising cost</w:t>
            </w:r>
          </w:p>
        </w:tc>
        <w:tc>
          <w:tcPr>
            <w:tcW w:w="580" w:type="dxa"/>
            <w:vAlign w:val="bottom"/>
            <w:gridSpan w:val="2"/>
          </w:tcPr>
          <w:p>
            <w:pPr>
              <w:jc w:val="right"/>
              <w:ind w:right="135"/>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2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(5,484)</w:t>
            </w:r>
          </w:p>
        </w:tc>
        <w:tc>
          <w:tcPr>
            <w:tcW w:w="400" w:type="dxa"/>
            <w:vAlign w:val="bottom"/>
            <w:gridSpan w:val="2"/>
          </w:tcPr>
          <w:p>
            <w:pPr>
              <w:jc w:val="right"/>
              <w:ind w:right="19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(6,775)</w:t>
            </w:r>
          </w:p>
        </w:tc>
        <w:tc>
          <w:tcPr>
            <w:tcW w:w="180" w:type="dxa"/>
            <w:vAlign w:val="bottom"/>
          </w:tcPr>
          <w:p>
            <w:pPr>
              <w:spacing w:after="0"/>
              <w:rPr>
                <w:sz w:val="9"/>
                <w:szCs w:val="9"/>
                <w:color w:val="auto"/>
              </w:rPr>
            </w:pPr>
          </w:p>
        </w:tc>
        <w:tc>
          <w:tcPr>
            <w:tcW w:w="200" w:type="dxa"/>
            <w:vAlign w:val="bottom"/>
          </w:tcPr>
          <w:p>
            <w:pPr>
              <w:jc w:val="right"/>
              <w:ind w:right="9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54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(16,026)</w:t>
            </w:r>
          </w:p>
        </w:tc>
        <w:tc>
          <w:tcPr>
            <w:tcW w:w="340" w:type="dxa"/>
            <w:vAlign w:val="bottom"/>
            <w:gridSpan w:val="2"/>
          </w:tcPr>
          <w:p>
            <w:pPr>
              <w:jc w:val="right"/>
              <w:ind w:right="294"/>
              <w:spacing w:after="0"/>
              <w:rPr>
                <w:sz w:val="20"/>
                <w:szCs w:val="20"/>
                <w:color w:val="auto"/>
              </w:rPr>
            </w:pPr>
            <w:r>
              <w:rPr>
                <w:rFonts w:ascii="Times New Roman" w:cs="Times New Roman" w:eastAsia="Times New Roman" w:hAnsi="Times New Roman"/>
                <w:sz w:val="5"/>
                <w:szCs w:val="5"/>
                <w:color w:val="auto"/>
                <w:w w:val="78"/>
              </w:rPr>
              <w:t>$</w:t>
            </w:r>
          </w:p>
        </w:tc>
        <w:tc>
          <w:tcPr>
            <w:tcW w:w="12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(16,170)</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shd w:val="clear" w:color="auto" w:fill="CCEEFF"/>
          </w:tcPr>
          <w:p>
            <w:pPr>
              <w:spacing w:after="0"/>
              <w:rPr>
                <w:sz w:val="9"/>
                <w:szCs w:val="9"/>
                <w:color w:val="auto"/>
              </w:rPr>
            </w:pPr>
          </w:p>
        </w:tc>
        <w:tc>
          <w:tcPr>
            <w:tcW w:w="2780" w:type="dxa"/>
            <w:vAlign w:val="bottom"/>
            <w:shd w:val="clear" w:color="auto" w:fill="CCEEFF"/>
          </w:tcPr>
          <w:p>
            <w:pPr>
              <w:ind w:left="240"/>
              <w:spacing w:after="0" w:line="112" w:lineRule="exact"/>
              <w:rPr>
                <w:sz w:val="20"/>
                <w:szCs w:val="20"/>
                <w:color w:val="auto"/>
              </w:rPr>
            </w:pPr>
            <w:r>
              <w:rPr>
                <w:rFonts w:ascii="Times New Roman" w:cs="Times New Roman" w:eastAsia="Times New Roman" w:hAnsi="Times New Roman"/>
                <w:sz w:val="10"/>
                <w:szCs w:val="10"/>
                <w:color w:val="auto"/>
              </w:rPr>
              <w:t>Food &amp; beverage cost</w:t>
            </w: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2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(1,328)</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(1,922)</w:t>
            </w: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4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(3,934)</w:t>
            </w: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(4,631)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tcPr>
          <w:p>
            <w:pPr>
              <w:spacing w:after="0"/>
              <w:rPr>
                <w:sz w:val="9"/>
                <w:szCs w:val="9"/>
                <w:color w:val="auto"/>
              </w:rPr>
            </w:pPr>
          </w:p>
        </w:tc>
        <w:tc>
          <w:tcPr>
            <w:tcW w:w="2780" w:type="dxa"/>
            <w:vAlign w:val="bottom"/>
          </w:tcPr>
          <w:p>
            <w:pPr>
              <w:ind w:left="240"/>
              <w:spacing w:after="0" w:line="112" w:lineRule="exact"/>
              <w:rPr>
                <w:sz w:val="20"/>
                <w:szCs w:val="20"/>
                <w:color w:val="auto"/>
              </w:rPr>
            </w:pPr>
            <w:r>
              <w:rPr>
                <w:rFonts w:ascii="Times New Roman" w:cs="Times New Roman" w:eastAsia="Times New Roman" w:hAnsi="Times New Roman"/>
                <w:sz w:val="10"/>
                <w:szCs w:val="10"/>
                <w:color w:val="auto"/>
              </w:rPr>
              <w:t>Occupancy expense</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(4,415)</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(4,673)</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(13,221)</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(13,612)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shd w:val="clear" w:color="auto" w:fill="CCEEFF"/>
          </w:tcPr>
          <w:p>
            <w:pPr>
              <w:spacing w:after="0"/>
              <w:rPr>
                <w:sz w:val="9"/>
                <w:szCs w:val="9"/>
                <w:color w:val="auto"/>
              </w:rPr>
            </w:pPr>
          </w:p>
        </w:tc>
        <w:tc>
          <w:tcPr>
            <w:tcW w:w="2780" w:type="dxa"/>
            <w:vAlign w:val="bottom"/>
            <w:shd w:val="clear" w:color="auto" w:fill="CCEEFF"/>
          </w:tcPr>
          <w:p>
            <w:pPr>
              <w:ind w:left="240"/>
              <w:spacing w:after="0" w:line="112" w:lineRule="exact"/>
              <w:rPr>
                <w:sz w:val="20"/>
                <w:szCs w:val="20"/>
                <w:color w:val="auto"/>
              </w:rPr>
            </w:pPr>
            <w:r>
              <w:rPr>
                <w:rFonts w:ascii="Times New Roman" w:cs="Times New Roman" w:eastAsia="Times New Roman" w:hAnsi="Times New Roman"/>
                <w:sz w:val="10"/>
                <w:szCs w:val="10"/>
                <w:color w:val="auto"/>
              </w:rPr>
              <w:t>Labor cost</w:t>
            </w: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2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(3,377)</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(3,794)</w:t>
            </w: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4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(10,108)</w:t>
            </w: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(10,510)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tcPr>
          <w:p>
            <w:pPr>
              <w:spacing w:after="0"/>
              <w:rPr>
                <w:sz w:val="9"/>
                <w:szCs w:val="9"/>
                <w:color w:val="auto"/>
              </w:rPr>
            </w:pPr>
          </w:p>
        </w:tc>
        <w:tc>
          <w:tcPr>
            <w:tcW w:w="2780" w:type="dxa"/>
            <w:vAlign w:val="bottom"/>
          </w:tcPr>
          <w:p>
            <w:pPr>
              <w:ind w:left="240"/>
              <w:spacing w:after="0" w:line="112" w:lineRule="exact"/>
              <w:rPr>
                <w:sz w:val="20"/>
                <w:szCs w:val="20"/>
                <w:color w:val="auto"/>
              </w:rPr>
            </w:pPr>
            <w:r>
              <w:rPr>
                <w:rFonts w:ascii="Times New Roman" w:cs="Times New Roman" w:eastAsia="Times New Roman" w:hAnsi="Times New Roman"/>
                <w:sz w:val="10"/>
                <w:szCs w:val="10"/>
                <w:color w:val="auto"/>
              </w:rPr>
              <w:t>Utilities</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(815)</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(719)</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(2,308)</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(2,171)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shd w:val="clear" w:color="auto" w:fill="CCEEFF"/>
          </w:tcPr>
          <w:p>
            <w:pPr>
              <w:spacing w:after="0"/>
              <w:rPr>
                <w:sz w:val="9"/>
                <w:szCs w:val="9"/>
                <w:color w:val="auto"/>
              </w:rPr>
            </w:pPr>
          </w:p>
        </w:tc>
        <w:tc>
          <w:tcPr>
            <w:tcW w:w="2780" w:type="dxa"/>
            <w:vAlign w:val="bottom"/>
            <w:shd w:val="clear" w:color="auto" w:fill="CCEEFF"/>
          </w:tcPr>
          <w:p>
            <w:pPr>
              <w:ind w:left="240"/>
              <w:spacing w:after="0" w:line="112" w:lineRule="exact"/>
              <w:rPr>
                <w:sz w:val="20"/>
                <w:szCs w:val="20"/>
                <w:color w:val="auto"/>
              </w:rPr>
            </w:pPr>
            <w:r>
              <w:rPr>
                <w:rFonts w:ascii="Times New Roman" w:cs="Times New Roman" w:eastAsia="Times New Roman" w:hAnsi="Times New Roman"/>
                <w:sz w:val="10"/>
                <w:szCs w:val="10"/>
                <w:color w:val="auto"/>
              </w:rPr>
              <w:t>Cleaning and maintenance</w:t>
            </w: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2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(1,163)</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(1,352)</w:t>
            </w: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4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(3,466)</w:t>
            </w: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(3,728)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tcPr>
          <w:p>
            <w:pPr>
              <w:spacing w:after="0"/>
              <w:rPr>
                <w:sz w:val="9"/>
                <w:szCs w:val="9"/>
                <w:color w:val="auto"/>
              </w:rPr>
            </w:pPr>
          </w:p>
        </w:tc>
        <w:tc>
          <w:tcPr>
            <w:tcW w:w="2780" w:type="dxa"/>
            <w:vAlign w:val="bottom"/>
          </w:tcPr>
          <w:p>
            <w:pPr>
              <w:ind w:left="240"/>
              <w:spacing w:after="0" w:line="112" w:lineRule="exact"/>
              <w:rPr>
                <w:sz w:val="20"/>
                <w:szCs w:val="20"/>
                <w:color w:val="auto"/>
              </w:rPr>
            </w:pPr>
            <w:r>
              <w:rPr>
                <w:rFonts w:ascii="Times New Roman" w:cs="Times New Roman" w:eastAsia="Times New Roman" w:hAnsi="Times New Roman"/>
                <w:sz w:val="10"/>
                <w:szCs w:val="10"/>
                <w:color w:val="auto"/>
              </w:rPr>
              <w:t>Other operating expenses</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(903)</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(966)</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(2,477)</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(2,747)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400" w:type="dxa"/>
            <w:vAlign w:val="bottom"/>
            <w:tcBorders>
              <w:top w:val="single" w:sz="8" w:color="CCEEFF"/>
            </w:tcBorders>
            <w:shd w:val="clear" w:color="auto" w:fill="CCEEFF"/>
          </w:tcPr>
          <w:p>
            <w:pPr>
              <w:spacing w:after="0"/>
              <w:rPr>
                <w:sz w:val="8"/>
                <w:szCs w:val="8"/>
                <w:color w:val="auto"/>
              </w:rPr>
            </w:pPr>
          </w:p>
        </w:tc>
        <w:tc>
          <w:tcPr>
            <w:tcW w:w="27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(17,485)</w:t>
            </w: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jc w:val="right"/>
              <w:ind w:right="1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24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(20,201)</w:t>
            </w:r>
          </w:p>
        </w:tc>
        <w:tc>
          <w:tcPr>
            <w:tcW w:w="1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jc w:val="right"/>
              <w:ind w:right="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3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(51,540)</w:t>
            </w: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12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(53,569)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4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shd w:val="clear" w:color="auto" w:fill="CCEEFF"/>
          </w:tcPr>
          <w:p>
            <w:pPr>
              <w:ind w:left="280"/>
              <w:spacing w:after="0" w:line="112" w:lineRule="exact"/>
              <w:rPr>
                <w:sz w:val="20"/>
                <w:szCs w:val="20"/>
                <w:color w:val="auto"/>
              </w:rPr>
            </w:pPr>
            <w:r>
              <w:rPr>
                <w:rFonts w:ascii="Times New Roman" w:cs="Times New Roman" w:eastAsia="Times New Roman" w:hAnsi="Times New Roman"/>
                <w:sz w:val="10"/>
                <w:szCs w:val="10"/>
                <w:b w:val="1"/>
                <w:bCs w:val="1"/>
                <w:color w:val="auto"/>
              </w:rPr>
              <w:t>New Zealand</w:t>
            </w:r>
          </w:p>
        </w:tc>
        <w:tc>
          <w:tcPr>
            <w:tcW w:w="2780" w:type="dxa"/>
            <w:vAlign w:val="bottom"/>
            <w:shd w:val="clear" w:color="auto" w:fill="CCEEFF"/>
          </w:tcPr>
          <w:p>
            <w:pPr>
              <w:ind w:left="240"/>
              <w:spacing w:after="0" w:line="112" w:lineRule="exact"/>
              <w:rPr>
                <w:sz w:val="20"/>
                <w:szCs w:val="20"/>
                <w:color w:val="auto"/>
              </w:rPr>
            </w:pPr>
            <w:r>
              <w:rPr>
                <w:rFonts w:ascii="Times New Roman" w:cs="Times New Roman" w:eastAsia="Times New Roman" w:hAnsi="Times New Roman"/>
                <w:sz w:val="10"/>
                <w:szCs w:val="10"/>
                <w:color w:val="auto"/>
              </w:rPr>
              <w:t>Film rent and advertising cost</w:t>
            </w:r>
          </w:p>
        </w:tc>
        <w:tc>
          <w:tcPr>
            <w:tcW w:w="580" w:type="dxa"/>
            <w:vAlign w:val="bottom"/>
            <w:gridSpan w:val="2"/>
            <w:shd w:val="clear" w:color="auto" w:fill="CCEEFF"/>
          </w:tcPr>
          <w:p>
            <w:pPr>
              <w:jc w:val="right"/>
              <w:ind w:right="135"/>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2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(803)</w:t>
            </w:r>
          </w:p>
        </w:tc>
        <w:tc>
          <w:tcPr>
            <w:tcW w:w="400" w:type="dxa"/>
            <w:vAlign w:val="bottom"/>
            <w:gridSpan w:val="2"/>
            <w:shd w:val="clear" w:color="auto" w:fill="CCEEFF"/>
          </w:tcPr>
          <w:p>
            <w:pPr>
              <w:jc w:val="right"/>
              <w:ind w:right="19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(1,048)</w:t>
            </w: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jc w:val="right"/>
              <w:ind w:right="9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54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(2,592)</w:t>
            </w:r>
          </w:p>
        </w:tc>
        <w:tc>
          <w:tcPr>
            <w:tcW w:w="34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5"/>
                <w:szCs w:val="5"/>
                <w:color w:val="auto"/>
                <w:w w:val="78"/>
              </w:rPr>
              <w:t>$</w:t>
            </w:r>
          </w:p>
        </w:tc>
        <w:tc>
          <w:tcPr>
            <w:tcW w:w="12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(2,482)</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tcPr>
          <w:p>
            <w:pPr>
              <w:spacing w:after="0"/>
              <w:rPr>
                <w:sz w:val="9"/>
                <w:szCs w:val="9"/>
                <w:color w:val="auto"/>
              </w:rPr>
            </w:pPr>
          </w:p>
        </w:tc>
        <w:tc>
          <w:tcPr>
            <w:tcW w:w="2780" w:type="dxa"/>
            <w:vAlign w:val="bottom"/>
          </w:tcPr>
          <w:p>
            <w:pPr>
              <w:ind w:left="240"/>
              <w:spacing w:after="0" w:line="112" w:lineRule="exact"/>
              <w:rPr>
                <w:sz w:val="20"/>
                <w:szCs w:val="20"/>
                <w:color w:val="auto"/>
              </w:rPr>
            </w:pPr>
            <w:r>
              <w:rPr>
                <w:rFonts w:ascii="Times New Roman" w:cs="Times New Roman" w:eastAsia="Times New Roman" w:hAnsi="Times New Roman"/>
                <w:sz w:val="10"/>
                <w:szCs w:val="10"/>
                <w:color w:val="auto"/>
              </w:rPr>
              <w:t>Food &amp; beverage cost</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(159)</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(273)</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(575)</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(703)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shd w:val="clear" w:color="auto" w:fill="CCEEFF"/>
          </w:tcPr>
          <w:p>
            <w:pPr>
              <w:spacing w:after="0"/>
              <w:rPr>
                <w:sz w:val="9"/>
                <w:szCs w:val="9"/>
                <w:color w:val="auto"/>
              </w:rPr>
            </w:pPr>
          </w:p>
        </w:tc>
        <w:tc>
          <w:tcPr>
            <w:tcW w:w="2780" w:type="dxa"/>
            <w:vAlign w:val="bottom"/>
            <w:shd w:val="clear" w:color="auto" w:fill="CCEEFF"/>
          </w:tcPr>
          <w:p>
            <w:pPr>
              <w:ind w:left="240"/>
              <w:spacing w:after="0" w:line="112" w:lineRule="exact"/>
              <w:rPr>
                <w:sz w:val="20"/>
                <w:szCs w:val="20"/>
                <w:color w:val="auto"/>
              </w:rPr>
            </w:pPr>
            <w:r>
              <w:rPr>
                <w:rFonts w:ascii="Times New Roman" w:cs="Times New Roman" w:eastAsia="Times New Roman" w:hAnsi="Times New Roman"/>
                <w:sz w:val="10"/>
                <w:szCs w:val="10"/>
                <w:color w:val="auto"/>
              </w:rPr>
              <w:t>Occupancy expense</w:t>
            </w: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2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(746)</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(804)</w:t>
            </w: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4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(2,216)</w:t>
            </w: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(2,347)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tcPr>
          <w:p>
            <w:pPr>
              <w:spacing w:after="0"/>
              <w:rPr>
                <w:sz w:val="9"/>
                <w:szCs w:val="9"/>
                <w:color w:val="auto"/>
              </w:rPr>
            </w:pPr>
          </w:p>
        </w:tc>
        <w:tc>
          <w:tcPr>
            <w:tcW w:w="2780" w:type="dxa"/>
            <w:vAlign w:val="bottom"/>
          </w:tcPr>
          <w:p>
            <w:pPr>
              <w:ind w:left="240"/>
              <w:spacing w:after="0" w:line="112" w:lineRule="exact"/>
              <w:rPr>
                <w:sz w:val="20"/>
                <w:szCs w:val="20"/>
                <w:color w:val="auto"/>
              </w:rPr>
            </w:pPr>
            <w:r>
              <w:rPr>
                <w:rFonts w:ascii="Times New Roman" w:cs="Times New Roman" w:eastAsia="Times New Roman" w:hAnsi="Times New Roman"/>
                <w:sz w:val="10"/>
                <w:szCs w:val="10"/>
                <w:color w:val="auto"/>
              </w:rPr>
              <w:t>Labor cost</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(504)</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(631)</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(1,617)</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(1,786)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shd w:val="clear" w:color="auto" w:fill="CCEEFF"/>
          </w:tcPr>
          <w:p>
            <w:pPr>
              <w:spacing w:after="0"/>
              <w:rPr>
                <w:sz w:val="9"/>
                <w:szCs w:val="9"/>
                <w:color w:val="auto"/>
              </w:rPr>
            </w:pPr>
          </w:p>
        </w:tc>
        <w:tc>
          <w:tcPr>
            <w:tcW w:w="2780" w:type="dxa"/>
            <w:vAlign w:val="bottom"/>
            <w:shd w:val="clear" w:color="auto" w:fill="CCEEFF"/>
          </w:tcPr>
          <w:p>
            <w:pPr>
              <w:ind w:left="240"/>
              <w:spacing w:after="0" w:line="112" w:lineRule="exact"/>
              <w:rPr>
                <w:sz w:val="20"/>
                <w:szCs w:val="20"/>
                <w:color w:val="auto"/>
              </w:rPr>
            </w:pPr>
            <w:r>
              <w:rPr>
                <w:rFonts w:ascii="Times New Roman" w:cs="Times New Roman" w:eastAsia="Times New Roman" w:hAnsi="Times New Roman"/>
                <w:sz w:val="10"/>
                <w:szCs w:val="10"/>
                <w:color w:val="auto"/>
              </w:rPr>
              <w:t>Utilities</w:t>
            </w: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2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(173)</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(114)</w:t>
            </w: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4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(407)</w:t>
            </w: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(311)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tcPr>
          <w:p>
            <w:pPr>
              <w:spacing w:after="0"/>
              <w:rPr>
                <w:sz w:val="9"/>
                <w:szCs w:val="9"/>
                <w:color w:val="auto"/>
              </w:rPr>
            </w:pPr>
          </w:p>
        </w:tc>
        <w:tc>
          <w:tcPr>
            <w:tcW w:w="2780" w:type="dxa"/>
            <w:vAlign w:val="bottom"/>
          </w:tcPr>
          <w:p>
            <w:pPr>
              <w:ind w:left="240"/>
              <w:spacing w:after="0" w:line="112" w:lineRule="exact"/>
              <w:rPr>
                <w:sz w:val="20"/>
                <w:szCs w:val="20"/>
                <w:color w:val="auto"/>
              </w:rPr>
            </w:pPr>
            <w:r>
              <w:rPr>
                <w:rFonts w:ascii="Times New Roman" w:cs="Times New Roman" w:eastAsia="Times New Roman" w:hAnsi="Times New Roman"/>
                <w:sz w:val="10"/>
                <w:szCs w:val="10"/>
                <w:color w:val="auto"/>
              </w:rPr>
              <w:t>Cleaning and maintenance</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(182)</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(256)</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(572)</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(650)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shd w:val="clear" w:color="auto" w:fill="CCEEFF"/>
          </w:tcPr>
          <w:p>
            <w:pPr>
              <w:spacing w:after="0"/>
              <w:rPr>
                <w:sz w:val="9"/>
                <w:szCs w:val="9"/>
                <w:color w:val="auto"/>
              </w:rPr>
            </w:pPr>
          </w:p>
        </w:tc>
        <w:tc>
          <w:tcPr>
            <w:tcW w:w="2780" w:type="dxa"/>
            <w:vAlign w:val="bottom"/>
            <w:shd w:val="clear" w:color="auto" w:fill="CCEEFF"/>
          </w:tcPr>
          <w:p>
            <w:pPr>
              <w:ind w:left="240"/>
              <w:spacing w:after="0" w:line="112" w:lineRule="exact"/>
              <w:rPr>
                <w:sz w:val="20"/>
                <w:szCs w:val="20"/>
                <w:color w:val="auto"/>
              </w:rPr>
            </w:pPr>
            <w:r>
              <w:rPr>
                <w:rFonts w:ascii="Times New Roman" w:cs="Times New Roman" w:eastAsia="Times New Roman" w:hAnsi="Times New Roman"/>
                <w:sz w:val="10"/>
                <w:szCs w:val="10"/>
                <w:color w:val="auto"/>
              </w:rPr>
              <w:t>Other operating expenses</w:t>
            </w: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2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(165)</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(305)</w:t>
            </w: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4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(624)</w:t>
            </w: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(802)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4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(2,732)</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top w:val="single" w:sz="8" w:color="auto"/>
            </w:tcBorders>
          </w:tcPr>
          <w:p>
            <w:pPr>
              <w:jc w:val="right"/>
              <w:ind w:right="1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24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(3,431)</w:t>
            </w:r>
          </w:p>
        </w:tc>
        <w:tc>
          <w:tcPr>
            <w:tcW w:w="180" w:type="dxa"/>
            <w:vAlign w:val="bottom"/>
          </w:tcPr>
          <w:p>
            <w:pPr>
              <w:spacing w:after="0"/>
              <w:rPr>
                <w:sz w:val="8"/>
                <w:szCs w:val="8"/>
                <w:color w:val="auto"/>
              </w:rPr>
            </w:pPr>
          </w:p>
        </w:tc>
        <w:tc>
          <w:tcPr>
            <w:tcW w:w="200" w:type="dxa"/>
            <w:vAlign w:val="bottom"/>
            <w:tcBorders>
              <w:top w:val="single" w:sz="8" w:color="auto"/>
            </w:tcBorders>
          </w:tcPr>
          <w:p>
            <w:pPr>
              <w:jc w:val="right"/>
              <w:ind w:right="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36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(8,603)</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122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(9,081)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400" w:type="dxa"/>
            <w:vAlign w:val="bottom"/>
            <w:tcBorders>
              <w:bottom w:val="single" w:sz="8" w:color="CCEEFF"/>
            </w:tcBorders>
            <w:shd w:val="clear" w:color="auto" w:fill="CCEEFF"/>
          </w:tcPr>
          <w:p>
            <w:pPr>
              <w:spacing w:after="0"/>
              <w:rPr>
                <w:sz w:val="11"/>
                <w:szCs w:val="11"/>
                <w:color w:val="auto"/>
              </w:rPr>
            </w:pPr>
          </w:p>
        </w:tc>
        <w:tc>
          <w:tcPr>
            <w:tcW w:w="27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34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400" w:type="dxa"/>
            <w:vAlign w:val="bottom"/>
          </w:tcPr>
          <w:p>
            <w:pPr>
              <w:ind w:left="280"/>
              <w:spacing w:after="0" w:line="91" w:lineRule="exact"/>
              <w:rPr>
                <w:sz w:val="20"/>
                <w:szCs w:val="20"/>
                <w:color w:val="auto"/>
              </w:rPr>
            </w:pPr>
            <w:r>
              <w:rPr>
                <w:rFonts w:ascii="Times New Roman" w:cs="Times New Roman" w:eastAsia="Times New Roman" w:hAnsi="Times New Roman"/>
                <w:sz w:val="9"/>
                <w:szCs w:val="9"/>
                <w:b w:val="1"/>
                <w:bCs w:val="1"/>
                <w:color w:val="auto"/>
              </w:rPr>
              <w:t>Total operating expense</w:t>
            </w:r>
          </w:p>
        </w:tc>
        <w:tc>
          <w:tcPr>
            <w:tcW w:w="2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(43,694)</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bottom w:val="single" w:sz="8" w:color="auto"/>
            </w:tcBorders>
          </w:tcPr>
          <w:p>
            <w:pPr>
              <w:jc w:val="right"/>
              <w:ind w:right="190"/>
              <w:spacing w:after="0" w:line="9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2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(50,633)</w:t>
            </w:r>
          </w:p>
        </w:tc>
        <w:tc>
          <w:tcPr>
            <w:tcW w:w="180" w:type="dxa"/>
            <w:vAlign w:val="bottom"/>
          </w:tcPr>
          <w:p>
            <w:pPr>
              <w:spacing w:after="0"/>
              <w:rPr>
                <w:sz w:val="7"/>
                <w:szCs w:val="7"/>
                <w:color w:val="auto"/>
              </w:rPr>
            </w:pPr>
          </w:p>
        </w:tc>
        <w:tc>
          <w:tcPr>
            <w:tcW w:w="200" w:type="dxa"/>
            <w:vAlign w:val="bottom"/>
            <w:tcBorders>
              <w:bottom w:val="single" w:sz="8" w:color="auto"/>
            </w:tcBorders>
          </w:tcPr>
          <w:p>
            <w:pPr>
              <w:jc w:val="right"/>
              <w:ind w:right="90"/>
              <w:spacing w:after="0" w:line="9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36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(129,292)</w:t>
            </w: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12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(136,407)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41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DEPRECIATION, AMORTIZATION, GENERAL AND ADMINISTRATIVE EXPENSE</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400" w:type="dxa"/>
            <w:vAlign w:val="bottom"/>
            <w:shd w:val="clear" w:color="auto" w:fill="CCEEFF"/>
          </w:tcPr>
          <w:p>
            <w:pPr>
              <w:ind w:left="280"/>
              <w:spacing w:after="0" w:line="112" w:lineRule="exact"/>
              <w:rPr>
                <w:sz w:val="20"/>
                <w:szCs w:val="20"/>
                <w:color w:val="auto"/>
              </w:rPr>
            </w:pPr>
            <w:r>
              <w:rPr>
                <w:rFonts w:ascii="Times New Roman" w:cs="Times New Roman" w:eastAsia="Times New Roman" w:hAnsi="Times New Roman"/>
                <w:sz w:val="10"/>
                <w:szCs w:val="10"/>
                <w:b w:val="1"/>
                <w:bCs w:val="1"/>
                <w:color w:val="auto"/>
              </w:rPr>
              <w:t>United States</w:t>
            </w:r>
          </w:p>
        </w:tc>
        <w:tc>
          <w:tcPr>
            <w:tcW w:w="2780" w:type="dxa"/>
            <w:vAlign w:val="bottom"/>
            <w:shd w:val="clear" w:color="auto" w:fill="CCEEFF"/>
          </w:tcPr>
          <w:p>
            <w:pPr>
              <w:ind w:left="240"/>
              <w:spacing w:after="0" w:line="112"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580" w:type="dxa"/>
            <w:vAlign w:val="bottom"/>
            <w:gridSpan w:val="2"/>
            <w:shd w:val="clear" w:color="auto" w:fill="CCEEFF"/>
          </w:tcPr>
          <w:p>
            <w:pPr>
              <w:jc w:val="right"/>
              <w:ind w:right="135"/>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2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(1,043)</w:t>
            </w:r>
          </w:p>
        </w:tc>
        <w:tc>
          <w:tcPr>
            <w:tcW w:w="400" w:type="dxa"/>
            <w:vAlign w:val="bottom"/>
            <w:gridSpan w:val="2"/>
            <w:shd w:val="clear" w:color="auto" w:fill="CCEEFF"/>
          </w:tcPr>
          <w:p>
            <w:pPr>
              <w:jc w:val="right"/>
              <w:ind w:right="19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(1,259)</w:t>
            </w: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jc w:val="right"/>
              <w:ind w:right="9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54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(3,321)</w:t>
            </w:r>
          </w:p>
        </w:tc>
        <w:tc>
          <w:tcPr>
            <w:tcW w:w="34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5"/>
                <w:szCs w:val="5"/>
                <w:color w:val="auto"/>
                <w:w w:val="78"/>
              </w:rPr>
              <w:t>$</w:t>
            </w:r>
          </w:p>
        </w:tc>
        <w:tc>
          <w:tcPr>
            <w:tcW w:w="12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(3,784)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tcPr>
          <w:p>
            <w:pPr>
              <w:spacing w:after="0"/>
              <w:rPr>
                <w:sz w:val="9"/>
                <w:szCs w:val="9"/>
                <w:color w:val="auto"/>
              </w:rPr>
            </w:pPr>
          </w:p>
        </w:tc>
        <w:tc>
          <w:tcPr>
            <w:tcW w:w="2780" w:type="dxa"/>
            <w:vAlign w:val="bottom"/>
          </w:tcPr>
          <w:p>
            <w:pPr>
              <w:ind w:left="240"/>
              <w:spacing w:after="0" w:line="112" w:lineRule="exact"/>
              <w:rPr>
                <w:sz w:val="20"/>
                <w:szCs w:val="20"/>
                <w:color w:val="auto"/>
              </w:rPr>
            </w:pPr>
            <w:r>
              <w:rPr>
                <w:rFonts w:ascii="Times New Roman" w:cs="Times New Roman" w:eastAsia="Times New Roman" w:hAnsi="Times New Roman"/>
                <w:sz w:val="10"/>
                <w:szCs w:val="10"/>
                <w:color w:val="auto"/>
              </w:rPr>
              <w:t>General and administrative expense</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(674)</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(513)</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(2,130)</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(1,885)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400" w:type="dxa"/>
            <w:vAlign w:val="bottom"/>
            <w:tcBorders>
              <w:top w:val="single" w:sz="8" w:color="CCEEFF"/>
            </w:tcBorders>
            <w:shd w:val="clear" w:color="auto" w:fill="CCEEFF"/>
          </w:tcPr>
          <w:p>
            <w:pPr>
              <w:spacing w:after="0"/>
              <w:rPr>
                <w:sz w:val="8"/>
                <w:szCs w:val="8"/>
                <w:color w:val="auto"/>
              </w:rPr>
            </w:pPr>
          </w:p>
        </w:tc>
        <w:tc>
          <w:tcPr>
            <w:tcW w:w="27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(1,717)</w:t>
            </w: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jc w:val="right"/>
              <w:ind w:right="1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24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(1,772)</w:t>
            </w:r>
          </w:p>
        </w:tc>
        <w:tc>
          <w:tcPr>
            <w:tcW w:w="1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jc w:val="right"/>
              <w:ind w:right="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3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(5,451)</w:t>
            </w: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12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(5,669)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4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shd w:val="clear" w:color="auto" w:fill="CCEEFF"/>
          </w:tcPr>
          <w:p>
            <w:pPr>
              <w:ind w:left="280"/>
              <w:spacing w:after="0" w:line="112" w:lineRule="exact"/>
              <w:rPr>
                <w:sz w:val="20"/>
                <w:szCs w:val="20"/>
                <w:color w:val="auto"/>
              </w:rPr>
            </w:pPr>
            <w:r>
              <w:rPr>
                <w:rFonts w:ascii="Times New Roman" w:cs="Times New Roman" w:eastAsia="Times New Roman" w:hAnsi="Times New Roman"/>
                <w:sz w:val="10"/>
                <w:szCs w:val="10"/>
                <w:b w:val="1"/>
                <w:bCs w:val="1"/>
                <w:color w:val="auto"/>
              </w:rPr>
              <w:t>Australia</w:t>
            </w:r>
          </w:p>
        </w:tc>
        <w:tc>
          <w:tcPr>
            <w:tcW w:w="2780" w:type="dxa"/>
            <w:vAlign w:val="bottom"/>
            <w:shd w:val="clear" w:color="auto" w:fill="CCEEFF"/>
          </w:tcPr>
          <w:p>
            <w:pPr>
              <w:ind w:left="240"/>
              <w:spacing w:after="0" w:line="112"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580" w:type="dxa"/>
            <w:vAlign w:val="bottom"/>
            <w:gridSpan w:val="2"/>
            <w:shd w:val="clear" w:color="auto" w:fill="CCEEFF"/>
          </w:tcPr>
          <w:p>
            <w:pPr>
              <w:jc w:val="right"/>
              <w:ind w:right="135"/>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2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(895)</w:t>
            </w:r>
          </w:p>
        </w:tc>
        <w:tc>
          <w:tcPr>
            <w:tcW w:w="400" w:type="dxa"/>
            <w:vAlign w:val="bottom"/>
            <w:gridSpan w:val="2"/>
            <w:shd w:val="clear" w:color="auto" w:fill="CCEEFF"/>
          </w:tcPr>
          <w:p>
            <w:pPr>
              <w:jc w:val="right"/>
              <w:ind w:right="19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(1,237)</w:t>
            </w: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jc w:val="right"/>
              <w:ind w:right="9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54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(2,714)</w:t>
            </w:r>
          </w:p>
        </w:tc>
        <w:tc>
          <w:tcPr>
            <w:tcW w:w="34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5"/>
                <w:szCs w:val="5"/>
                <w:color w:val="auto"/>
                <w:w w:val="78"/>
              </w:rPr>
              <w:t>$</w:t>
            </w:r>
          </w:p>
        </w:tc>
        <w:tc>
          <w:tcPr>
            <w:tcW w:w="12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(3,619)</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tcPr>
          <w:p>
            <w:pPr>
              <w:spacing w:after="0"/>
              <w:rPr>
                <w:sz w:val="9"/>
                <w:szCs w:val="9"/>
                <w:color w:val="auto"/>
              </w:rPr>
            </w:pPr>
          </w:p>
        </w:tc>
        <w:tc>
          <w:tcPr>
            <w:tcW w:w="2780" w:type="dxa"/>
            <w:vAlign w:val="bottom"/>
          </w:tcPr>
          <w:p>
            <w:pPr>
              <w:ind w:left="240"/>
              <w:spacing w:after="0" w:line="112" w:lineRule="exact"/>
              <w:rPr>
                <w:sz w:val="20"/>
                <w:szCs w:val="20"/>
                <w:color w:val="auto"/>
              </w:rPr>
            </w:pPr>
            <w:r>
              <w:rPr>
                <w:rFonts w:ascii="Times New Roman" w:cs="Times New Roman" w:eastAsia="Times New Roman" w:hAnsi="Times New Roman"/>
                <w:sz w:val="10"/>
                <w:szCs w:val="10"/>
                <w:color w:val="auto"/>
              </w:rPr>
              <w:t>General and administrative expense</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(314)</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(389)</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(1,086)</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(1,087)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400" w:type="dxa"/>
            <w:vAlign w:val="bottom"/>
            <w:tcBorders>
              <w:top w:val="single" w:sz="8" w:color="CCEEFF"/>
            </w:tcBorders>
            <w:shd w:val="clear" w:color="auto" w:fill="CCEEFF"/>
          </w:tcPr>
          <w:p>
            <w:pPr>
              <w:spacing w:after="0"/>
              <w:rPr>
                <w:sz w:val="8"/>
                <w:szCs w:val="8"/>
                <w:color w:val="auto"/>
              </w:rPr>
            </w:pPr>
          </w:p>
        </w:tc>
        <w:tc>
          <w:tcPr>
            <w:tcW w:w="27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(1,209)</w:t>
            </w: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jc w:val="right"/>
              <w:ind w:right="1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24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(1,626)</w:t>
            </w:r>
          </w:p>
        </w:tc>
        <w:tc>
          <w:tcPr>
            <w:tcW w:w="1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jc w:val="right"/>
              <w:ind w:right="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3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(3,800)</w:t>
            </w: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12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(4,706)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4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shd w:val="clear" w:color="auto" w:fill="CCEEFF"/>
          </w:tcPr>
          <w:p>
            <w:pPr>
              <w:ind w:left="280"/>
              <w:spacing w:after="0" w:line="112" w:lineRule="exact"/>
              <w:rPr>
                <w:sz w:val="20"/>
                <w:szCs w:val="20"/>
                <w:color w:val="auto"/>
              </w:rPr>
            </w:pPr>
            <w:r>
              <w:rPr>
                <w:rFonts w:ascii="Times New Roman" w:cs="Times New Roman" w:eastAsia="Times New Roman" w:hAnsi="Times New Roman"/>
                <w:sz w:val="10"/>
                <w:szCs w:val="10"/>
                <w:b w:val="1"/>
                <w:bCs w:val="1"/>
                <w:color w:val="auto"/>
              </w:rPr>
              <w:t>New Zealand</w:t>
            </w:r>
          </w:p>
        </w:tc>
        <w:tc>
          <w:tcPr>
            <w:tcW w:w="2780" w:type="dxa"/>
            <w:vAlign w:val="bottom"/>
            <w:shd w:val="clear" w:color="auto" w:fill="CCEEFF"/>
          </w:tcPr>
          <w:p>
            <w:pPr>
              <w:ind w:left="240"/>
              <w:spacing w:after="0" w:line="112"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580" w:type="dxa"/>
            <w:vAlign w:val="bottom"/>
            <w:gridSpan w:val="2"/>
            <w:shd w:val="clear" w:color="auto" w:fill="CCEEFF"/>
          </w:tcPr>
          <w:p>
            <w:pPr>
              <w:jc w:val="right"/>
              <w:ind w:right="135"/>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2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(107)</w:t>
            </w:r>
          </w:p>
        </w:tc>
        <w:tc>
          <w:tcPr>
            <w:tcW w:w="400" w:type="dxa"/>
            <w:vAlign w:val="bottom"/>
            <w:gridSpan w:val="2"/>
            <w:shd w:val="clear" w:color="auto" w:fill="CCEEFF"/>
          </w:tcPr>
          <w:p>
            <w:pPr>
              <w:jc w:val="right"/>
              <w:ind w:right="19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(112)</w:t>
            </w: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jc w:val="right"/>
              <w:ind w:right="9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54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(323)</w:t>
            </w:r>
          </w:p>
        </w:tc>
        <w:tc>
          <w:tcPr>
            <w:tcW w:w="34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5"/>
                <w:szCs w:val="5"/>
                <w:color w:val="auto"/>
                <w:w w:val="78"/>
              </w:rPr>
              <w:t>$</w:t>
            </w:r>
          </w:p>
        </w:tc>
        <w:tc>
          <w:tcPr>
            <w:tcW w:w="12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(350)</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tcPr>
          <w:p>
            <w:pPr>
              <w:spacing w:after="0"/>
              <w:rPr>
                <w:sz w:val="9"/>
                <w:szCs w:val="9"/>
                <w:color w:val="auto"/>
              </w:rPr>
            </w:pPr>
          </w:p>
        </w:tc>
        <w:tc>
          <w:tcPr>
            <w:tcW w:w="2780" w:type="dxa"/>
            <w:vAlign w:val="bottom"/>
          </w:tcPr>
          <w:p>
            <w:pPr>
              <w:ind w:left="240"/>
              <w:spacing w:after="0" w:line="112" w:lineRule="exact"/>
              <w:rPr>
                <w:sz w:val="20"/>
                <w:szCs w:val="20"/>
                <w:color w:val="auto"/>
              </w:rPr>
            </w:pPr>
            <w:r>
              <w:rPr>
                <w:rFonts w:ascii="Times New Roman" w:cs="Times New Roman" w:eastAsia="Times New Roman" w:hAnsi="Times New Roman"/>
                <w:sz w:val="10"/>
                <w:szCs w:val="10"/>
                <w:color w:val="auto"/>
              </w:rPr>
              <w:t>General and administrative expense</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(72)</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(142)</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400" w:type="dxa"/>
            <w:vAlign w:val="bottom"/>
            <w:tcBorders>
              <w:top w:val="single" w:sz="8" w:color="CCEEFF"/>
            </w:tcBorders>
            <w:shd w:val="clear" w:color="auto" w:fill="CCEEFF"/>
          </w:tcPr>
          <w:p>
            <w:pPr>
              <w:spacing w:after="0"/>
              <w:rPr>
                <w:sz w:val="8"/>
                <w:szCs w:val="8"/>
                <w:color w:val="auto"/>
              </w:rPr>
            </w:pPr>
          </w:p>
        </w:tc>
        <w:tc>
          <w:tcPr>
            <w:tcW w:w="27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(179)</w:t>
            </w: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jc w:val="right"/>
              <w:ind w:right="1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24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(113)</w:t>
            </w:r>
          </w:p>
        </w:tc>
        <w:tc>
          <w:tcPr>
            <w:tcW w:w="1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jc w:val="right"/>
              <w:ind w:right="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3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(465)</w:t>
            </w: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12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(351)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418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180" w:type="dxa"/>
            <w:vAlign w:val="bottom"/>
            <w:gridSpan w:val="2"/>
            <w:shd w:val="clear" w:color="auto" w:fill="CCEEFF"/>
          </w:tcPr>
          <w:p>
            <w:pPr>
              <w:ind w:left="280"/>
              <w:spacing w:after="0" w:line="112" w:lineRule="exact"/>
              <w:rPr>
                <w:sz w:val="20"/>
                <w:szCs w:val="20"/>
                <w:color w:val="auto"/>
              </w:rPr>
            </w:pPr>
            <w:r>
              <w:rPr>
                <w:rFonts w:ascii="Times New Roman" w:cs="Times New Roman" w:eastAsia="Times New Roman" w:hAnsi="Times New Roman"/>
                <w:sz w:val="10"/>
                <w:szCs w:val="10"/>
                <w:b w:val="1"/>
                <w:bCs w:val="1"/>
                <w:color w:val="auto"/>
              </w:rPr>
              <w:t>Total depreciation, amortization, general and administrative expense</w:t>
            </w:r>
          </w:p>
        </w:tc>
        <w:tc>
          <w:tcPr>
            <w:tcW w:w="580" w:type="dxa"/>
            <w:vAlign w:val="bottom"/>
            <w:gridSpan w:val="2"/>
            <w:shd w:val="clear" w:color="auto" w:fill="CCEEFF"/>
          </w:tcPr>
          <w:p>
            <w:pPr>
              <w:jc w:val="right"/>
              <w:ind w:right="135"/>
              <w:spacing w:after="0" w:line="112" w:lineRule="exact"/>
              <w:rPr>
                <w:sz w:val="20"/>
                <w:szCs w:val="20"/>
                <w:color w:val="auto"/>
              </w:rPr>
            </w:pPr>
            <w:r>
              <w:rPr>
                <w:rFonts w:ascii="Times New Roman" w:cs="Times New Roman" w:eastAsia="Times New Roman" w:hAnsi="Times New Roman"/>
                <w:sz w:val="10"/>
                <w:szCs w:val="10"/>
                <w:b w:val="1"/>
                <w:bCs w:val="1"/>
                <w:color w:val="auto"/>
              </w:rPr>
              <w:t>$</w:t>
            </w:r>
          </w:p>
        </w:tc>
        <w:tc>
          <w:tcPr>
            <w:tcW w:w="142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b w:val="1"/>
                <w:bCs w:val="1"/>
                <w:color w:val="auto"/>
              </w:rPr>
              <w:t>(3,105)</w:t>
            </w:r>
          </w:p>
        </w:tc>
        <w:tc>
          <w:tcPr>
            <w:tcW w:w="400" w:type="dxa"/>
            <w:vAlign w:val="bottom"/>
            <w:gridSpan w:val="2"/>
            <w:shd w:val="clear" w:color="auto" w:fill="CCEEFF"/>
          </w:tcPr>
          <w:p>
            <w:pPr>
              <w:jc w:val="right"/>
              <w:ind w:right="190"/>
              <w:spacing w:after="0" w:line="112" w:lineRule="exact"/>
              <w:rPr>
                <w:sz w:val="20"/>
                <w:szCs w:val="20"/>
                <w:color w:val="auto"/>
              </w:rPr>
            </w:pPr>
            <w:r>
              <w:rPr>
                <w:rFonts w:ascii="Times New Roman" w:cs="Times New Roman" w:eastAsia="Times New Roman" w:hAnsi="Times New Roman"/>
                <w:sz w:val="10"/>
                <w:szCs w:val="10"/>
                <w:b w:val="1"/>
                <w:bCs w:val="1"/>
                <w:color w:val="auto"/>
              </w:rPr>
              <w:t>$</w:t>
            </w:r>
          </w:p>
        </w:tc>
        <w:tc>
          <w:tcPr>
            <w:tcW w:w="12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(3,511)</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0"/>
              <w:spacing w:after="0" w:line="112"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54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b w:val="1"/>
                <w:bCs w:val="1"/>
                <w:color w:val="auto"/>
              </w:rPr>
              <w:t>(9,716)</w:t>
            </w:r>
          </w:p>
        </w:tc>
        <w:tc>
          <w:tcPr>
            <w:tcW w:w="34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(10,726)</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41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OPERATING INCOME (LOSS) - CINEMA</w:t>
            </w:r>
          </w:p>
        </w:tc>
        <w:tc>
          <w:tcPr>
            <w:tcW w:w="3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1400" w:type="dxa"/>
            <w:vAlign w:val="bottom"/>
            <w:shd w:val="clear" w:color="auto" w:fill="CCEEFF"/>
          </w:tcPr>
          <w:p>
            <w:pPr>
              <w:ind w:left="280"/>
              <w:spacing w:after="0" w:line="112" w:lineRule="exact"/>
              <w:rPr>
                <w:sz w:val="20"/>
                <w:szCs w:val="20"/>
                <w:color w:val="auto"/>
              </w:rPr>
            </w:pPr>
            <w:r>
              <w:rPr>
                <w:rFonts w:ascii="Times New Roman" w:cs="Times New Roman" w:eastAsia="Times New Roman" w:hAnsi="Times New Roman"/>
                <w:sz w:val="10"/>
                <w:szCs w:val="10"/>
                <w:b w:val="1"/>
                <w:bCs w:val="1"/>
                <w:color w:val="auto"/>
              </w:rPr>
              <w:t>United States</w:t>
            </w:r>
          </w:p>
        </w:tc>
        <w:tc>
          <w:tcPr>
            <w:tcW w:w="278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35"/>
              <w:spacing w:after="0" w:line="112" w:lineRule="exact"/>
              <w:rPr>
                <w:sz w:val="20"/>
                <w:szCs w:val="20"/>
                <w:color w:val="auto"/>
              </w:rPr>
            </w:pPr>
            <w:r>
              <w:rPr>
                <w:rFonts w:ascii="Times New Roman" w:cs="Times New Roman" w:eastAsia="Times New Roman" w:hAnsi="Times New Roman"/>
                <w:sz w:val="10"/>
                <w:szCs w:val="10"/>
                <w:color w:val="auto"/>
              </w:rPr>
              <w:t>$</w:t>
            </w:r>
          </w:p>
        </w:tc>
        <w:tc>
          <w:tcPr>
            <w:tcW w:w="142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(72)</w:t>
            </w:r>
          </w:p>
        </w:tc>
        <w:tc>
          <w:tcPr>
            <w:tcW w:w="400" w:type="dxa"/>
            <w:vAlign w:val="bottom"/>
            <w:gridSpan w:val="2"/>
            <w:shd w:val="clear" w:color="auto" w:fill="CCEEFF"/>
          </w:tcPr>
          <w:p>
            <w:pPr>
              <w:jc w:val="right"/>
              <w:ind w:right="19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(957)</w:t>
            </w: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jc w:val="right"/>
              <w:ind w:right="9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54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(924)</w:t>
            </w:r>
          </w:p>
        </w:tc>
        <w:tc>
          <w:tcPr>
            <w:tcW w:w="34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5"/>
                <w:szCs w:val="5"/>
                <w:color w:val="auto"/>
                <w:w w:val="78"/>
              </w:rPr>
              <w:t>$</w:t>
            </w:r>
          </w:p>
        </w:tc>
        <w:tc>
          <w:tcPr>
            <w:tcW w:w="12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(8,825)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tcPr>
          <w:p>
            <w:pPr>
              <w:ind w:left="280"/>
              <w:spacing w:after="0" w:line="112" w:lineRule="exact"/>
              <w:rPr>
                <w:sz w:val="20"/>
                <w:szCs w:val="20"/>
                <w:color w:val="auto"/>
              </w:rPr>
            </w:pPr>
            <w:r>
              <w:rPr>
                <w:rFonts w:ascii="Times New Roman" w:cs="Times New Roman" w:eastAsia="Times New Roman" w:hAnsi="Times New Roman"/>
                <w:sz w:val="10"/>
                <w:szCs w:val="10"/>
                <w:b w:val="1"/>
                <w:bCs w:val="1"/>
                <w:color w:val="auto"/>
              </w:rPr>
              <w:t>Australia</w:t>
            </w:r>
          </w:p>
        </w:tc>
        <w:tc>
          <w:tcPr>
            <w:tcW w:w="2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1,818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2,918</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3,763</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2,337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00" w:type="dxa"/>
            <w:vAlign w:val="bottom"/>
            <w:shd w:val="clear" w:color="auto" w:fill="CCEEFF"/>
          </w:tcPr>
          <w:p>
            <w:pPr>
              <w:ind w:left="280"/>
              <w:spacing w:after="0" w:line="112" w:lineRule="exact"/>
              <w:rPr>
                <w:sz w:val="20"/>
                <w:szCs w:val="20"/>
                <w:color w:val="auto"/>
              </w:rPr>
            </w:pPr>
            <w:r>
              <w:rPr>
                <w:rFonts w:ascii="Times New Roman" w:cs="Times New Roman" w:eastAsia="Times New Roman" w:hAnsi="Times New Roman"/>
                <w:sz w:val="10"/>
                <w:szCs w:val="10"/>
                <w:b w:val="1"/>
                <w:bCs w:val="1"/>
                <w:color w:val="auto"/>
              </w:rPr>
              <w:t>New Zealand</w:t>
            </w:r>
          </w:p>
        </w:tc>
        <w:tc>
          <w:tcPr>
            <w:tcW w:w="27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252</w:t>
            </w: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4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(107)</w:t>
            </w: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(75)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180" w:type="dxa"/>
            <w:vAlign w:val="bottom"/>
            <w:gridSpan w:val="2"/>
          </w:tcPr>
          <w:p>
            <w:pPr>
              <w:ind w:left="280"/>
              <w:spacing w:after="0" w:line="101" w:lineRule="exact"/>
              <w:rPr>
                <w:sz w:val="20"/>
                <w:szCs w:val="20"/>
                <w:color w:val="auto"/>
              </w:rPr>
            </w:pPr>
            <w:r>
              <w:rPr>
                <w:rFonts w:ascii="Times New Roman" w:cs="Times New Roman" w:eastAsia="Times New Roman" w:hAnsi="Times New Roman"/>
                <w:sz w:val="10"/>
                <w:szCs w:val="10"/>
                <w:b w:val="1"/>
                <w:bCs w:val="1"/>
                <w:color w:val="auto"/>
              </w:rPr>
              <w:t>Total Cinema operating income (loss)</w:t>
            </w:r>
          </w:p>
        </w:tc>
        <w:tc>
          <w:tcPr>
            <w:tcW w:w="38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1,756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top w:val="single" w:sz="8" w:color="auto"/>
              <w:bottom w:val="single" w:sz="8" w:color="auto"/>
            </w:tcBorders>
          </w:tcPr>
          <w:p>
            <w:pPr>
              <w:jc w:val="right"/>
              <w:ind w:right="1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24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2,213</w:t>
            </w:r>
          </w:p>
        </w:tc>
        <w:tc>
          <w:tcPr>
            <w:tcW w:w="18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36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2,732</w:t>
            </w:r>
          </w:p>
        </w:tc>
        <w:tc>
          <w:tcPr>
            <w:tcW w:w="1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122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(6,563)</w:t>
            </w: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248"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color w:val="auto"/>
        </w:rPr>
        <w:t>A reconciliation of real estate segment revenue to segment operating income for the quarter and nine months ended September 30, 2025 and September 30, 2024,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4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Quarter Ended</w:t>
            </w: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80" w:type="dxa"/>
            <w:vAlign w:val="bottom"/>
            <w:gridSpan w:val="6"/>
          </w:tcPr>
          <w:p>
            <w:pPr>
              <w:ind w:left="96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0" w:type="dxa"/>
            <w:vAlign w:val="bottom"/>
          </w:tcPr>
          <w:p>
            <w:pPr>
              <w:spacing w:after="0"/>
              <w:rPr>
                <w:sz w:val="1"/>
                <w:szCs w:val="1"/>
                <w:color w:val="auto"/>
              </w:rPr>
            </w:pPr>
          </w:p>
        </w:tc>
      </w:tr>
      <w:tr>
        <w:trPr>
          <w:trHeight w:val="110"/>
        </w:trPr>
        <w:tc>
          <w:tcPr>
            <w:tcW w:w="1420" w:type="dxa"/>
            <w:vAlign w:val="bottom"/>
          </w:tcPr>
          <w:p>
            <w:pPr>
              <w:spacing w:after="0" w:line="111" w:lineRule="exact"/>
              <w:rPr>
                <w:sz w:val="20"/>
                <w:szCs w:val="20"/>
                <w:color w:val="auto"/>
              </w:rPr>
            </w:pPr>
            <w:r>
              <w:rPr>
                <w:rFonts w:ascii="Times New Roman" w:cs="Times New Roman" w:eastAsia="Times New Roman" w:hAnsi="Times New Roman"/>
                <w:sz w:val="10"/>
                <w:szCs w:val="10"/>
                <w:color w:val="auto"/>
              </w:rPr>
              <w:t>(Dollars in thousands)</w:t>
            </w:r>
          </w:p>
        </w:tc>
        <w:tc>
          <w:tcPr>
            <w:tcW w:w="29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380" w:type="dxa"/>
            <w:vAlign w:val="bottom"/>
            <w:tcBorders>
              <w:top w:val="single" w:sz="8" w:color="auto"/>
            </w:tcBorders>
            <w:gridSpan w:val="2"/>
          </w:tcPr>
          <w:p>
            <w:pPr>
              <w:ind w:left="140"/>
              <w:spacing w:after="0" w:line="111" w:lineRule="exact"/>
              <w:rPr>
                <w:sz w:val="20"/>
                <w:szCs w:val="20"/>
                <w:color w:val="auto"/>
              </w:rPr>
            </w:pPr>
            <w:r>
              <w:rPr>
                <w:rFonts w:ascii="Times New Roman" w:cs="Times New Roman" w:eastAsia="Times New Roman" w:hAnsi="Times New Roman"/>
                <w:sz w:val="10"/>
                <w:szCs w:val="10"/>
                <w:b w:val="1"/>
                <w:bCs w:val="1"/>
                <w:color w:val="auto"/>
              </w:rPr>
              <w:t>September 30, 2025</w:t>
            </w:r>
          </w:p>
        </w:tc>
        <w:tc>
          <w:tcPr>
            <w:tcW w:w="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jc w:val="right"/>
              <w:ind w:right="270"/>
              <w:spacing w:after="0" w:line="111" w:lineRule="exact"/>
              <w:rPr>
                <w:sz w:val="20"/>
                <w:szCs w:val="20"/>
                <w:color w:val="auto"/>
              </w:rPr>
            </w:pPr>
            <w:r>
              <w:rPr>
                <w:rFonts w:ascii="Times New Roman" w:cs="Times New Roman" w:eastAsia="Times New Roman" w:hAnsi="Times New Roman"/>
                <w:sz w:val="10"/>
                <w:szCs w:val="10"/>
                <w:b w:val="1"/>
                <w:bCs w:val="1"/>
                <w:color w:val="auto"/>
              </w:rPr>
              <w:t>September 30, 2024</w:t>
            </w:r>
          </w:p>
        </w:tc>
        <w:tc>
          <w:tcPr>
            <w:tcW w:w="1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60" w:type="dxa"/>
            <w:vAlign w:val="bottom"/>
            <w:tcBorders>
              <w:top w:val="single" w:sz="8" w:color="auto"/>
            </w:tcBorders>
            <w:gridSpan w:val="2"/>
          </w:tcPr>
          <w:p>
            <w:pPr>
              <w:jc w:val="right"/>
              <w:ind w:right="500"/>
              <w:spacing w:after="0" w:line="111" w:lineRule="exact"/>
              <w:rPr>
                <w:sz w:val="20"/>
                <w:szCs w:val="20"/>
                <w:color w:val="auto"/>
              </w:rPr>
            </w:pPr>
            <w:r>
              <w:rPr>
                <w:rFonts w:ascii="Times New Roman" w:cs="Times New Roman" w:eastAsia="Times New Roman" w:hAnsi="Times New Roman"/>
                <w:sz w:val="10"/>
                <w:szCs w:val="10"/>
                <w:b w:val="1"/>
                <w:bCs w:val="1"/>
                <w:color w:val="auto"/>
              </w:rPr>
              <w:t>September 30, 2025</w:t>
            </w: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jc w:val="right"/>
              <w:ind w:right="290"/>
              <w:spacing w:after="0" w:line="111" w:lineRule="exact"/>
              <w:rPr>
                <w:sz w:val="20"/>
                <w:szCs w:val="20"/>
                <w:color w:val="auto"/>
              </w:rPr>
            </w:pPr>
            <w:r>
              <w:rPr>
                <w:rFonts w:ascii="Times New Roman" w:cs="Times New Roman" w:eastAsia="Times New Roman" w:hAnsi="Times New Roman"/>
                <w:sz w:val="10"/>
                <w:szCs w:val="10"/>
                <w:b w:val="1"/>
                <w:bCs w:val="1"/>
                <w:color w:val="auto"/>
              </w:rPr>
              <w:t>September 30, 2024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420" w:type="dxa"/>
            <w:vAlign w:val="bottom"/>
            <w:tcBorders>
              <w:top w:val="single" w:sz="8" w:color="auto"/>
            </w:tcBorders>
            <w:shd w:val="clear" w:color="auto" w:fill="CCEEFF"/>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REVENUE</w:t>
            </w:r>
          </w:p>
        </w:tc>
        <w:tc>
          <w:tcPr>
            <w:tcW w:w="29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2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2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30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tcPr>
          <w:p>
            <w:pPr>
              <w:ind w:left="280"/>
              <w:spacing w:after="0" w:line="112" w:lineRule="exact"/>
              <w:rPr>
                <w:sz w:val="20"/>
                <w:szCs w:val="20"/>
                <w:color w:val="auto"/>
              </w:rPr>
            </w:pPr>
            <w:r>
              <w:rPr>
                <w:rFonts w:ascii="Times New Roman" w:cs="Times New Roman" w:eastAsia="Times New Roman" w:hAnsi="Times New Roman"/>
                <w:sz w:val="10"/>
                <w:szCs w:val="10"/>
                <w:b w:val="1"/>
                <w:bCs w:val="1"/>
                <w:color w:val="auto"/>
              </w:rPr>
              <w:t>United States</w:t>
            </w:r>
          </w:p>
        </w:tc>
        <w:tc>
          <w:tcPr>
            <w:tcW w:w="2900" w:type="dxa"/>
            <w:vAlign w:val="bottom"/>
          </w:tcPr>
          <w:p>
            <w:pPr>
              <w:ind w:left="140"/>
              <w:spacing w:after="0" w:line="112" w:lineRule="exact"/>
              <w:rPr>
                <w:sz w:val="20"/>
                <w:szCs w:val="20"/>
                <w:color w:val="auto"/>
              </w:rPr>
            </w:pPr>
            <w:r>
              <w:rPr>
                <w:rFonts w:ascii="Times New Roman" w:cs="Times New Roman" w:eastAsia="Times New Roman" w:hAnsi="Times New Roman"/>
                <w:sz w:val="10"/>
                <w:szCs w:val="10"/>
                <w:color w:val="auto"/>
              </w:rPr>
              <w:t>Live theatre rental and ancillary income</w:t>
            </w:r>
          </w:p>
        </w:tc>
        <w:tc>
          <w:tcPr>
            <w:tcW w:w="720" w:type="dxa"/>
            <w:vAlign w:val="bottom"/>
            <w:gridSpan w:val="2"/>
          </w:tcPr>
          <w:p>
            <w:pPr>
              <w:jc w:val="right"/>
              <w:ind w:right="115"/>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902</w:t>
            </w:r>
          </w:p>
        </w:tc>
        <w:tc>
          <w:tcPr>
            <w:tcW w:w="100" w:type="dxa"/>
            <w:vAlign w:val="bottom"/>
          </w:tcPr>
          <w:p>
            <w:pPr>
              <w:spacing w:after="0"/>
              <w:rPr>
                <w:sz w:val="9"/>
                <w:szCs w:val="9"/>
                <w:color w:val="auto"/>
              </w:rPr>
            </w:pPr>
          </w:p>
        </w:tc>
        <w:tc>
          <w:tcPr>
            <w:tcW w:w="360" w:type="dxa"/>
            <w:vAlign w:val="bottom"/>
            <w:gridSpan w:val="2"/>
          </w:tcPr>
          <w:p>
            <w:pPr>
              <w:jc w:val="right"/>
              <w:ind w:right="17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391</w:t>
            </w:r>
          </w:p>
        </w:tc>
        <w:tc>
          <w:tcPr>
            <w:tcW w:w="180" w:type="dxa"/>
            <w:vAlign w:val="bottom"/>
          </w:tcPr>
          <w:p>
            <w:pPr>
              <w:spacing w:after="0"/>
              <w:rPr>
                <w:sz w:val="9"/>
                <w:szCs w:val="9"/>
                <w:color w:val="auto"/>
              </w:rPr>
            </w:pPr>
          </w:p>
        </w:tc>
        <w:tc>
          <w:tcPr>
            <w:tcW w:w="180" w:type="dxa"/>
            <w:vAlign w:val="bottom"/>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12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2,075</w:t>
            </w:r>
          </w:p>
        </w:tc>
        <w:tc>
          <w:tcPr>
            <w:tcW w:w="180" w:type="dxa"/>
            <w:vAlign w:val="bottom"/>
          </w:tcPr>
          <w:p>
            <w:pPr>
              <w:spacing w:after="0"/>
              <w:rPr>
                <w:sz w:val="9"/>
                <w:szCs w:val="9"/>
                <w:color w:val="auto"/>
              </w:rPr>
            </w:pPr>
          </w:p>
        </w:tc>
        <w:tc>
          <w:tcPr>
            <w:tcW w:w="200" w:type="dxa"/>
            <w:vAlign w:val="bottom"/>
            <w:gridSpan w:val="2"/>
          </w:tcPr>
          <w:p>
            <w:pPr>
              <w:jc w:val="right"/>
              <w:ind w:right="115"/>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1,220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shd w:val="clear" w:color="auto" w:fill="CCEEFF"/>
          </w:tcPr>
          <w:p>
            <w:pPr>
              <w:spacing w:after="0"/>
              <w:rPr>
                <w:sz w:val="9"/>
                <w:szCs w:val="9"/>
                <w:color w:val="auto"/>
              </w:rPr>
            </w:pPr>
          </w:p>
        </w:tc>
        <w:tc>
          <w:tcPr>
            <w:tcW w:w="2900" w:type="dxa"/>
            <w:vAlign w:val="bottom"/>
            <w:shd w:val="clear" w:color="auto" w:fill="CCEEFF"/>
          </w:tcPr>
          <w:p>
            <w:pPr>
              <w:ind w:left="140"/>
              <w:spacing w:after="0" w:line="112" w:lineRule="exact"/>
              <w:rPr>
                <w:sz w:val="20"/>
                <w:szCs w:val="20"/>
                <w:color w:val="auto"/>
              </w:rPr>
            </w:pPr>
            <w:r>
              <w:rPr>
                <w:rFonts w:ascii="Times New Roman" w:cs="Times New Roman" w:eastAsia="Times New Roman" w:hAnsi="Times New Roman"/>
                <w:sz w:val="10"/>
                <w:szCs w:val="10"/>
                <w:color w:val="auto"/>
              </w:rPr>
              <w:t>Property rental income</w:t>
            </w:r>
          </w:p>
        </w:tc>
        <w:tc>
          <w:tcPr>
            <w:tcW w:w="54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128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1,050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1,053</w:t>
            </w:r>
          </w:p>
        </w:tc>
        <w:tc>
          <w:tcPr>
            <w:tcW w:w="18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128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3,164</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3,192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4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1,952</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1,444</w:t>
            </w: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5,239</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4,412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420" w:type="dxa"/>
            <w:vAlign w:val="bottom"/>
            <w:shd w:val="clear" w:color="auto" w:fill="CCEEFF"/>
          </w:tcPr>
          <w:p>
            <w:pPr>
              <w:ind w:left="280"/>
              <w:spacing w:after="0" w:line="112" w:lineRule="exact"/>
              <w:rPr>
                <w:sz w:val="20"/>
                <w:szCs w:val="20"/>
                <w:color w:val="auto"/>
              </w:rPr>
            </w:pPr>
            <w:r>
              <w:rPr>
                <w:rFonts w:ascii="Times New Roman" w:cs="Times New Roman" w:eastAsia="Times New Roman" w:hAnsi="Times New Roman"/>
                <w:sz w:val="10"/>
                <w:szCs w:val="10"/>
                <w:b w:val="1"/>
                <w:bCs w:val="1"/>
                <w:color w:val="auto"/>
              </w:rPr>
              <w:t>Australia</w:t>
            </w:r>
          </w:p>
        </w:tc>
        <w:tc>
          <w:tcPr>
            <w:tcW w:w="2900" w:type="dxa"/>
            <w:vAlign w:val="bottom"/>
            <w:shd w:val="clear" w:color="auto" w:fill="CCEEFF"/>
          </w:tcPr>
          <w:p>
            <w:pPr>
              <w:ind w:left="140"/>
              <w:spacing w:after="0" w:line="112" w:lineRule="exact"/>
              <w:rPr>
                <w:sz w:val="20"/>
                <w:szCs w:val="20"/>
                <w:color w:val="auto"/>
              </w:rPr>
            </w:pPr>
            <w:r>
              <w:rPr>
                <w:rFonts w:ascii="Times New Roman" w:cs="Times New Roman" w:eastAsia="Times New Roman" w:hAnsi="Times New Roman"/>
                <w:sz w:val="10"/>
                <w:szCs w:val="10"/>
                <w:color w:val="auto"/>
              </w:rPr>
              <w:t>Property rental income</w:t>
            </w: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2,394</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3,082</w:t>
            </w: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8,150</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9,342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tcBorders>
              <w:bottom w:val="single" w:sz="8" w:color="CCEEFF"/>
            </w:tcBorders>
          </w:tcPr>
          <w:p>
            <w:pPr>
              <w:ind w:left="280"/>
              <w:spacing w:after="0" w:line="112" w:lineRule="exact"/>
              <w:rPr>
                <w:sz w:val="20"/>
                <w:szCs w:val="20"/>
                <w:color w:val="auto"/>
              </w:rPr>
            </w:pPr>
            <w:r>
              <w:rPr>
                <w:rFonts w:ascii="Times New Roman" w:cs="Times New Roman" w:eastAsia="Times New Roman" w:hAnsi="Times New Roman"/>
                <w:sz w:val="10"/>
                <w:szCs w:val="10"/>
                <w:b w:val="1"/>
                <w:bCs w:val="1"/>
                <w:color w:val="auto"/>
              </w:rPr>
              <w:t>New Zealand</w:t>
            </w:r>
          </w:p>
        </w:tc>
        <w:tc>
          <w:tcPr>
            <w:tcW w:w="2900" w:type="dxa"/>
            <w:vAlign w:val="bottom"/>
            <w:tcBorders>
              <w:bottom w:val="single" w:sz="8" w:color="CCEEFF"/>
            </w:tcBorders>
          </w:tcPr>
          <w:p>
            <w:pPr>
              <w:ind w:left="140"/>
              <w:spacing w:after="0" w:line="112" w:lineRule="exact"/>
              <w:rPr>
                <w:sz w:val="20"/>
                <w:szCs w:val="20"/>
                <w:color w:val="auto"/>
              </w:rPr>
            </w:pPr>
            <w:r>
              <w:rPr>
                <w:rFonts w:ascii="Times New Roman" w:cs="Times New Roman" w:eastAsia="Times New Roman" w:hAnsi="Times New Roman"/>
                <w:sz w:val="10"/>
                <w:szCs w:val="10"/>
                <w:color w:val="auto"/>
              </w:rPr>
              <w:t>Property rental income</w:t>
            </w:r>
          </w:p>
        </w:tc>
        <w:tc>
          <w:tcPr>
            <w:tcW w:w="54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221</w:t>
            </w: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372</w:t>
            </w:r>
          </w:p>
        </w:tc>
        <w:tc>
          <w:tcPr>
            <w:tcW w:w="18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676</w:t>
            </w:r>
          </w:p>
        </w:tc>
        <w:tc>
          <w:tcPr>
            <w:tcW w:w="1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1,090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420" w:type="dxa"/>
            <w:vAlign w:val="bottom"/>
            <w:tcBorders>
              <w:bottom w:val="single" w:sz="8" w:color="CCEEFF"/>
            </w:tcBorders>
            <w:shd w:val="clear" w:color="auto" w:fill="CCEEFF"/>
          </w:tcPr>
          <w:p>
            <w:pPr>
              <w:ind w:left="280"/>
              <w:spacing w:after="0" w:line="101" w:lineRule="exact"/>
              <w:rPr>
                <w:sz w:val="20"/>
                <w:szCs w:val="20"/>
                <w:color w:val="auto"/>
              </w:rPr>
            </w:pPr>
            <w:r>
              <w:rPr>
                <w:rFonts w:ascii="Times New Roman" w:cs="Times New Roman" w:eastAsia="Times New Roman" w:hAnsi="Times New Roman"/>
                <w:sz w:val="10"/>
                <w:szCs w:val="10"/>
                <w:b w:val="1"/>
                <w:bCs w:val="1"/>
                <w:color w:val="auto"/>
              </w:rPr>
              <w:t>Total revenue</w:t>
            </w:r>
          </w:p>
        </w:tc>
        <w:tc>
          <w:tcPr>
            <w:tcW w:w="29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4,567</w:t>
            </w: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jc w:val="right"/>
              <w:ind w:right="17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2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4,898</w:t>
            </w:r>
          </w:p>
        </w:tc>
        <w:tc>
          <w:tcPr>
            <w:tcW w:w="18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14,065</w:t>
            </w:r>
          </w:p>
        </w:tc>
        <w:tc>
          <w:tcPr>
            <w:tcW w:w="18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14,844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4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OPERATING EXPENSE</w:t>
            </w:r>
          </w:p>
        </w:tc>
        <w:tc>
          <w:tcPr>
            <w:tcW w:w="29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tcPr>
          <w:p>
            <w:pPr>
              <w:ind w:left="280"/>
              <w:spacing w:after="0" w:line="112" w:lineRule="exact"/>
              <w:rPr>
                <w:sz w:val="20"/>
                <w:szCs w:val="20"/>
                <w:color w:val="auto"/>
              </w:rPr>
            </w:pPr>
            <w:r>
              <w:rPr>
                <w:rFonts w:ascii="Times New Roman" w:cs="Times New Roman" w:eastAsia="Times New Roman" w:hAnsi="Times New Roman"/>
                <w:sz w:val="10"/>
                <w:szCs w:val="10"/>
                <w:b w:val="1"/>
                <w:bCs w:val="1"/>
                <w:color w:val="auto"/>
              </w:rPr>
              <w:t>United States</w:t>
            </w:r>
          </w:p>
        </w:tc>
        <w:tc>
          <w:tcPr>
            <w:tcW w:w="2900" w:type="dxa"/>
            <w:vAlign w:val="bottom"/>
          </w:tcPr>
          <w:p>
            <w:pPr>
              <w:ind w:left="140"/>
              <w:spacing w:after="0" w:line="112" w:lineRule="exact"/>
              <w:rPr>
                <w:sz w:val="20"/>
                <w:szCs w:val="20"/>
                <w:color w:val="auto"/>
              </w:rPr>
            </w:pPr>
            <w:r>
              <w:rPr>
                <w:rFonts w:ascii="Times New Roman" w:cs="Times New Roman" w:eastAsia="Times New Roman" w:hAnsi="Times New Roman"/>
                <w:sz w:val="10"/>
                <w:szCs w:val="10"/>
                <w:color w:val="auto"/>
              </w:rPr>
              <w:t>Live theatre cost</w:t>
            </w:r>
          </w:p>
        </w:tc>
        <w:tc>
          <w:tcPr>
            <w:tcW w:w="720" w:type="dxa"/>
            <w:vAlign w:val="bottom"/>
            <w:gridSpan w:val="2"/>
          </w:tcPr>
          <w:p>
            <w:pPr>
              <w:jc w:val="right"/>
              <w:ind w:right="115"/>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(304)</w:t>
            </w:r>
          </w:p>
        </w:tc>
        <w:tc>
          <w:tcPr>
            <w:tcW w:w="100" w:type="dxa"/>
            <w:vAlign w:val="bottom"/>
          </w:tcPr>
          <w:p>
            <w:pPr>
              <w:spacing w:after="0"/>
              <w:rPr>
                <w:sz w:val="9"/>
                <w:szCs w:val="9"/>
                <w:color w:val="auto"/>
              </w:rPr>
            </w:pPr>
          </w:p>
        </w:tc>
        <w:tc>
          <w:tcPr>
            <w:tcW w:w="360" w:type="dxa"/>
            <w:vAlign w:val="bottom"/>
            <w:gridSpan w:val="2"/>
          </w:tcPr>
          <w:p>
            <w:pPr>
              <w:jc w:val="right"/>
              <w:ind w:right="17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38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(196)</w:t>
            </w:r>
          </w:p>
        </w:tc>
        <w:tc>
          <w:tcPr>
            <w:tcW w:w="180" w:type="dxa"/>
            <w:vAlign w:val="bottom"/>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146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(796)</w:t>
            </w:r>
          </w:p>
        </w:tc>
        <w:tc>
          <w:tcPr>
            <w:tcW w:w="200" w:type="dxa"/>
            <w:vAlign w:val="bottom"/>
            <w:gridSpan w:val="2"/>
          </w:tcPr>
          <w:p>
            <w:pPr>
              <w:jc w:val="right"/>
              <w:ind w:right="115"/>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(706)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shd w:val="clear" w:color="auto" w:fill="CCEEFF"/>
          </w:tcPr>
          <w:p>
            <w:pPr>
              <w:spacing w:after="0"/>
              <w:rPr>
                <w:sz w:val="9"/>
                <w:szCs w:val="9"/>
                <w:color w:val="auto"/>
              </w:rPr>
            </w:pPr>
          </w:p>
        </w:tc>
        <w:tc>
          <w:tcPr>
            <w:tcW w:w="2900" w:type="dxa"/>
            <w:vAlign w:val="bottom"/>
            <w:shd w:val="clear" w:color="auto" w:fill="CCEEFF"/>
          </w:tcPr>
          <w:p>
            <w:pPr>
              <w:ind w:left="140"/>
              <w:spacing w:after="0" w:line="112" w:lineRule="exact"/>
              <w:rPr>
                <w:sz w:val="20"/>
                <w:szCs w:val="20"/>
                <w:color w:val="auto"/>
              </w:rPr>
            </w:pPr>
            <w:r>
              <w:rPr>
                <w:rFonts w:ascii="Times New Roman" w:cs="Times New Roman" w:eastAsia="Times New Roman" w:hAnsi="Times New Roman"/>
                <w:sz w:val="10"/>
                <w:szCs w:val="10"/>
                <w:color w:val="auto"/>
              </w:rPr>
              <w:t>Occupancy expense</w:t>
            </w: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(207)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(167)</w:t>
            </w:r>
          </w:p>
        </w:tc>
        <w:tc>
          <w:tcPr>
            <w:tcW w:w="180" w:type="dxa"/>
            <w:vAlign w:val="bottom"/>
            <w:shd w:val="clear" w:color="auto" w:fill="CCEEFF"/>
          </w:tcPr>
          <w:p>
            <w:pPr>
              <w:spacing w:after="0"/>
              <w:rPr>
                <w:sz w:val="9"/>
                <w:szCs w:val="9"/>
                <w:color w:val="auto"/>
              </w:rPr>
            </w:pPr>
          </w:p>
        </w:tc>
        <w:tc>
          <w:tcPr>
            <w:tcW w:w="146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(559)</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(521)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tcPr>
          <w:p>
            <w:pPr>
              <w:spacing w:after="0"/>
              <w:rPr>
                <w:sz w:val="9"/>
                <w:szCs w:val="9"/>
                <w:color w:val="auto"/>
              </w:rPr>
            </w:pPr>
          </w:p>
        </w:tc>
        <w:tc>
          <w:tcPr>
            <w:tcW w:w="2900" w:type="dxa"/>
            <w:vAlign w:val="bottom"/>
          </w:tcPr>
          <w:p>
            <w:pPr>
              <w:ind w:left="140"/>
              <w:spacing w:after="0" w:line="112" w:lineRule="exact"/>
              <w:rPr>
                <w:sz w:val="20"/>
                <w:szCs w:val="20"/>
                <w:color w:val="auto"/>
              </w:rPr>
            </w:pPr>
            <w:r>
              <w:rPr>
                <w:rFonts w:ascii="Times New Roman" w:cs="Times New Roman" w:eastAsia="Times New Roman" w:hAnsi="Times New Roman"/>
                <w:sz w:val="10"/>
                <w:szCs w:val="10"/>
                <w:color w:val="auto"/>
              </w:rPr>
              <w:t>Utilities</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(9)</w:t>
            </w:r>
          </w:p>
        </w:tc>
        <w:tc>
          <w:tcPr>
            <w:tcW w:w="180" w:type="dxa"/>
            <w:vAlign w:val="bottom"/>
          </w:tcPr>
          <w:p>
            <w:pPr>
              <w:spacing w:after="0"/>
              <w:rPr>
                <w:sz w:val="9"/>
                <w:szCs w:val="9"/>
                <w:color w:val="auto"/>
              </w:rPr>
            </w:pPr>
          </w:p>
        </w:tc>
        <w:tc>
          <w:tcPr>
            <w:tcW w:w="146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(50)</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(88)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shd w:val="clear" w:color="auto" w:fill="CCEEFF"/>
          </w:tcPr>
          <w:p>
            <w:pPr>
              <w:spacing w:after="0"/>
              <w:rPr>
                <w:sz w:val="9"/>
                <w:szCs w:val="9"/>
                <w:color w:val="auto"/>
              </w:rPr>
            </w:pPr>
          </w:p>
        </w:tc>
        <w:tc>
          <w:tcPr>
            <w:tcW w:w="2900" w:type="dxa"/>
            <w:vAlign w:val="bottom"/>
            <w:shd w:val="clear" w:color="auto" w:fill="CCEEFF"/>
          </w:tcPr>
          <w:p>
            <w:pPr>
              <w:ind w:left="140"/>
              <w:spacing w:after="0" w:line="112" w:lineRule="exact"/>
              <w:rPr>
                <w:sz w:val="20"/>
                <w:szCs w:val="20"/>
                <w:color w:val="auto"/>
              </w:rPr>
            </w:pPr>
            <w:r>
              <w:rPr>
                <w:rFonts w:ascii="Times New Roman" w:cs="Times New Roman" w:eastAsia="Times New Roman" w:hAnsi="Times New Roman"/>
                <w:sz w:val="10"/>
                <w:szCs w:val="10"/>
                <w:color w:val="auto"/>
              </w:rPr>
              <w:t>Cleaning and maintenance</w:t>
            </w: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(52)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(37)</w:t>
            </w:r>
          </w:p>
        </w:tc>
        <w:tc>
          <w:tcPr>
            <w:tcW w:w="180" w:type="dxa"/>
            <w:vAlign w:val="bottom"/>
            <w:shd w:val="clear" w:color="auto" w:fill="CCEEFF"/>
          </w:tcPr>
          <w:p>
            <w:pPr>
              <w:spacing w:after="0"/>
              <w:rPr>
                <w:sz w:val="9"/>
                <w:szCs w:val="9"/>
                <w:color w:val="auto"/>
              </w:rPr>
            </w:pPr>
          </w:p>
        </w:tc>
        <w:tc>
          <w:tcPr>
            <w:tcW w:w="146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(158)</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(115)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tcPr>
          <w:p>
            <w:pPr>
              <w:spacing w:after="0"/>
              <w:rPr>
                <w:sz w:val="9"/>
                <w:szCs w:val="9"/>
                <w:color w:val="auto"/>
              </w:rPr>
            </w:pPr>
          </w:p>
        </w:tc>
        <w:tc>
          <w:tcPr>
            <w:tcW w:w="2900" w:type="dxa"/>
            <w:vAlign w:val="bottom"/>
          </w:tcPr>
          <w:p>
            <w:pPr>
              <w:ind w:left="140"/>
              <w:spacing w:after="0" w:line="112" w:lineRule="exact"/>
              <w:rPr>
                <w:sz w:val="20"/>
                <w:szCs w:val="20"/>
                <w:color w:val="auto"/>
              </w:rPr>
            </w:pPr>
            <w:r>
              <w:rPr>
                <w:rFonts w:ascii="Times New Roman" w:cs="Times New Roman" w:eastAsia="Times New Roman" w:hAnsi="Times New Roman"/>
                <w:sz w:val="10"/>
                <w:szCs w:val="10"/>
                <w:color w:val="auto"/>
              </w:rPr>
              <w:t>Other operating expenses</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(288)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(245)</w:t>
            </w:r>
          </w:p>
        </w:tc>
        <w:tc>
          <w:tcPr>
            <w:tcW w:w="180" w:type="dxa"/>
            <w:vAlign w:val="bottom"/>
          </w:tcPr>
          <w:p>
            <w:pPr>
              <w:spacing w:after="0"/>
              <w:rPr>
                <w:sz w:val="9"/>
                <w:szCs w:val="9"/>
                <w:color w:val="auto"/>
              </w:rPr>
            </w:pPr>
          </w:p>
        </w:tc>
        <w:tc>
          <w:tcPr>
            <w:tcW w:w="146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(718)</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(865)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420" w:type="dxa"/>
            <w:vAlign w:val="bottom"/>
            <w:tcBorders>
              <w:top w:val="single" w:sz="8" w:color="CCEEFF"/>
            </w:tcBorders>
            <w:shd w:val="clear" w:color="auto" w:fill="CCEEFF"/>
          </w:tcPr>
          <w:p>
            <w:pPr>
              <w:spacing w:after="0"/>
              <w:rPr>
                <w:sz w:val="8"/>
                <w:szCs w:val="8"/>
                <w:color w:val="auto"/>
              </w:rPr>
            </w:pPr>
          </w:p>
        </w:tc>
        <w:tc>
          <w:tcPr>
            <w:tcW w:w="29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(873)</w:t>
            </w: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jc w:val="right"/>
              <w:ind w:right="17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2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(654)</w:t>
            </w:r>
          </w:p>
        </w:tc>
        <w:tc>
          <w:tcPr>
            <w:tcW w:w="1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(2,281)</w:t>
            </w: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(2,295)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4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shd w:val="clear" w:color="auto" w:fill="CCEEFF"/>
          </w:tcPr>
          <w:p>
            <w:pPr>
              <w:ind w:left="280"/>
              <w:spacing w:after="0" w:line="112" w:lineRule="exact"/>
              <w:rPr>
                <w:sz w:val="20"/>
                <w:szCs w:val="20"/>
                <w:color w:val="auto"/>
              </w:rPr>
            </w:pPr>
            <w:r>
              <w:rPr>
                <w:rFonts w:ascii="Times New Roman" w:cs="Times New Roman" w:eastAsia="Times New Roman" w:hAnsi="Times New Roman"/>
                <w:sz w:val="10"/>
                <w:szCs w:val="10"/>
                <w:b w:val="1"/>
                <w:bCs w:val="1"/>
                <w:color w:val="auto"/>
              </w:rPr>
              <w:t>Australia</w:t>
            </w:r>
          </w:p>
        </w:tc>
        <w:tc>
          <w:tcPr>
            <w:tcW w:w="2900" w:type="dxa"/>
            <w:vAlign w:val="bottom"/>
            <w:shd w:val="clear" w:color="auto" w:fill="CCEEFF"/>
          </w:tcPr>
          <w:p>
            <w:pPr>
              <w:ind w:left="140"/>
              <w:spacing w:after="0" w:line="112" w:lineRule="exact"/>
              <w:rPr>
                <w:sz w:val="20"/>
                <w:szCs w:val="20"/>
                <w:color w:val="auto"/>
              </w:rPr>
            </w:pPr>
            <w:r>
              <w:rPr>
                <w:rFonts w:ascii="Times New Roman" w:cs="Times New Roman" w:eastAsia="Times New Roman" w:hAnsi="Times New Roman"/>
                <w:sz w:val="10"/>
                <w:szCs w:val="10"/>
                <w:color w:val="auto"/>
              </w:rPr>
              <w:t>Occupancy expense</w:t>
            </w:r>
          </w:p>
        </w:tc>
        <w:tc>
          <w:tcPr>
            <w:tcW w:w="720" w:type="dxa"/>
            <w:vAlign w:val="bottom"/>
            <w:gridSpan w:val="2"/>
            <w:shd w:val="clear" w:color="auto" w:fill="CCEEFF"/>
          </w:tcPr>
          <w:p>
            <w:pPr>
              <w:jc w:val="right"/>
              <w:ind w:right="115"/>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(421)</w:t>
            </w:r>
          </w:p>
        </w:tc>
        <w:tc>
          <w:tcPr>
            <w:tcW w:w="10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17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38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(509)</w:t>
            </w:r>
          </w:p>
        </w:tc>
        <w:tc>
          <w:tcPr>
            <w:tcW w:w="1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146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(1,389)</w:t>
            </w:r>
          </w:p>
        </w:tc>
        <w:tc>
          <w:tcPr>
            <w:tcW w:w="200" w:type="dxa"/>
            <w:vAlign w:val="bottom"/>
            <w:gridSpan w:val="2"/>
            <w:shd w:val="clear" w:color="auto" w:fill="CCEEFF"/>
          </w:tcPr>
          <w:p>
            <w:pPr>
              <w:jc w:val="right"/>
              <w:ind w:right="115"/>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(1,477)</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tcPr>
          <w:p>
            <w:pPr>
              <w:spacing w:after="0"/>
              <w:rPr>
                <w:sz w:val="9"/>
                <w:szCs w:val="9"/>
                <w:color w:val="auto"/>
              </w:rPr>
            </w:pPr>
          </w:p>
        </w:tc>
        <w:tc>
          <w:tcPr>
            <w:tcW w:w="2900" w:type="dxa"/>
            <w:vAlign w:val="bottom"/>
          </w:tcPr>
          <w:p>
            <w:pPr>
              <w:ind w:left="140"/>
              <w:spacing w:after="0" w:line="112" w:lineRule="exact"/>
              <w:rPr>
                <w:sz w:val="20"/>
                <w:szCs w:val="20"/>
                <w:color w:val="auto"/>
              </w:rPr>
            </w:pPr>
            <w:r>
              <w:rPr>
                <w:rFonts w:ascii="Times New Roman" w:cs="Times New Roman" w:eastAsia="Times New Roman" w:hAnsi="Times New Roman"/>
                <w:sz w:val="10"/>
                <w:szCs w:val="10"/>
                <w:color w:val="auto"/>
              </w:rPr>
              <w:t>Labor cost</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(69)</w:t>
            </w:r>
          </w:p>
        </w:tc>
        <w:tc>
          <w:tcPr>
            <w:tcW w:w="180" w:type="dxa"/>
            <w:vAlign w:val="bottom"/>
          </w:tcPr>
          <w:p>
            <w:pPr>
              <w:spacing w:after="0"/>
              <w:rPr>
                <w:sz w:val="9"/>
                <w:szCs w:val="9"/>
                <w:color w:val="auto"/>
              </w:rPr>
            </w:pPr>
          </w:p>
        </w:tc>
        <w:tc>
          <w:tcPr>
            <w:tcW w:w="146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(161)</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(182)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shd w:val="clear" w:color="auto" w:fill="CCEEFF"/>
          </w:tcPr>
          <w:p>
            <w:pPr>
              <w:spacing w:after="0"/>
              <w:rPr>
                <w:sz w:val="9"/>
                <w:szCs w:val="9"/>
                <w:color w:val="auto"/>
              </w:rPr>
            </w:pPr>
          </w:p>
        </w:tc>
        <w:tc>
          <w:tcPr>
            <w:tcW w:w="2900" w:type="dxa"/>
            <w:vAlign w:val="bottom"/>
            <w:shd w:val="clear" w:color="auto" w:fill="CCEEFF"/>
          </w:tcPr>
          <w:p>
            <w:pPr>
              <w:ind w:left="140"/>
              <w:spacing w:after="0" w:line="112" w:lineRule="exact"/>
              <w:rPr>
                <w:sz w:val="20"/>
                <w:szCs w:val="20"/>
                <w:color w:val="auto"/>
              </w:rPr>
            </w:pPr>
            <w:r>
              <w:rPr>
                <w:rFonts w:ascii="Times New Roman" w:cs="Times New Roman" w:eastAsia="Times New Roman" w:hAnsi="Times New Roman"/>
                <w:sz w:val="10"/>
                <w:szCs w:val="10"/>
                <w:color w:val="auto"/>
              </w:rPr>
              <w:t>Utilities</w:t>
            </w: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(67)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(22)</w:t>
            </w:r>
          </w:p>
        </w:tc>
        <w:tc>
          <w:tcPr>
            <w:tcW w:w="180" w:type="dxa"/>
            <w:vAlign w:val="bottom"/>
            <w:shd w:val="clear" w:color="auto" w:fill="CCEEFF"/>
          </w:tcPr>
          <w:p>
            <w:pPr>
              <w:spacing w:after="0"/>
              <w:rPr>
                <w:sz w:val="9"/>
                <w:szCs w:val="9"/>
                <w:color w:val="auto"/>
              </w:rPr>
            </w:pPr>
          </w:p>
        </w:tc>
        <w:tc>
          <w:tcPr>
            <w:tcW w:w="146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(101)</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(55)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tcPr>
          <w:p>
            <w:pPr>
              <w:spacing w:after="0"/>
              <w:rPr>
                <w:sz w:val="9"/>
                <w:szCs w:val="9"/>
                <w:color w:val="auto"/>
              </w:rPr>
            </w:pPr>
          </w:p>
        </w:tc>
        <w:tc>
          <w:tcPr>
            <w:tcW w:w="2900" w:type="dxa"/>
            <w:vAlign w:val="bottom"/>
          </w:tcPr>
          <w:p>
            <w:pPr>
              <w:ind w:left="140"/>
              <w:spacing w:after="0" w:line="112" w:lineRule="exact"/>
              <w:rPr>
                <w:sz w:val="20"/>
                <w:szCs w:val="20"/>
                <w:color w:val="auto"/>
              </w:rPr>
            </w:pPr>
            <w:r>
              <w:rPr>
                <w:rFonts w:ascii="Times New Roman" w:cs="Times New Roman" w:eastAsia="Times New Roman" w:hAnsi="Times New Roman"/>
                <w:sz w:val="10"/>
                <w:szCs w:val="10"/>
                <w:color w:val="auto"/>
              </w:rPr>
              <w:t>Cleaning and maintenance</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(198)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(232)</w:t>
            </w:r>
          </w:p>
        </w:tc>
        <w:tc>
          <w:tcPr>
            <w:tcW w:w="180" w:type="dxa"/>
            <w:vAlign w:val="bottom"/>
          </w:tcPr>
          <w:p>
            <w:pPr>
              <w:spacing w:after="0"/>
              <w:rPr>
                <w:sz w:val="9"/>
                <w:szCs w:val="9"/>
                <w:color w:val="auto"/>
              </w:rPr>
            </w:pPr>
          </w:p>
        </w:tc>
        <w:tc>
          <w:tcPr>
            <w:tcW w:w="146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(634)</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(726)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shd w:val="clear" w:color="auto" w:fill="CCEEFF"/>
          </w:tcPr>
          <w:p>
            <w:pPr>
              <w:spacing w:after="0"/>
              <w:rPr>
                <w:sz w:val="9"/>
                <w:szCs w:val="9"/>
                <w:color w:val="auto"/>
              </w:rPr>
            </w:pPr>
          </w:p>
        </w:tc>
        <w:tc>
          <w:tcPr>
            <w:tcW w:w="2900" w:type="dxa"/>
            <w:vAlign w:val="bottom"/>
            <w:shd w:val="clear" w:color="auto" w:fill="CCEEFF"/>
          </w:tcPr>
          <w:p>
            <w:pPr>
              <w:ind w:left="140"/>
              <w:spacing w:after="0" w:line="112" w:lineRule="exact"/>
              <w:rPr>
                <w:sz w:val="20"/>
                <w:szCs w:val="20"/>
                <w:color w:val="auto"/>
              </w:rPr>
            </w:pPr>
            <w:r>
              <w:rPr>
                <w:rFonts w:ascii="Times New Roman" w:cs="Times New Roman" w:eastAsia="Times New Roman" w:hAnsi="Times New Roman"/>
                <w:sz w:val="10"/>
                <w:szCs w:val="10"/>
                <w:color w:val="auto"/>
              </w:rPr>
              <w:t>Other operating expenses</w:t>
            </w: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(191)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(165)</w:t>
            </w:r>
          </w:p>
        </w:tc>
        <w:tc>
          <w:tcPr>
            <w:tcW w:w="180" w:type="dxa"/>
            <w:vAlign w:val="bottom"/>
            <w:shd w:val="clear" w:color="auto" w:fill="CCEEFF"/>
          </w:tcPr>
          <w:p>
            <w:pPr>
              <w:spacing w:after="0"/>
              <w:rPr>
                <w:sz w:val="9"/>
                <w:szCs w:val="9"/>
                <w:color w:val="auto"/>
              </w:rPr>
            </w:pPr>
          </w:p>
        </w:tc>
        <w:tc>
          <w:tcPr>
            <w:tcW w:w="146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(648)</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(697)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4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8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(919)</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top w:val="single" w:sz="8" w:color="auto"/>
            </w:tcBorders>
          </w:tcPr>
          <w:p>
            <w:pPr>
              <w:jc w:val="right"/>
              <w:ind w:right="17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20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(997)</w:t>
            </w:r>
          </w:p>
        </w:tc>
        <w:tc>
          <w:tcPr>
            <w:tcW w:w="180" w:type="dxa"/>
            <w:vAlign w:val="bottom"/>
          </w:tcPr>
          <w:p>
            <w:pPr>
              <w:spacing w:after="0"/>
              <w:rPr>
                <w:sz w:val="8"/>
                <w:szCs w:val="8"/>
                <w:color w:val="auto"/>
              </w:rPr>
            </w:pPr>
          </w:p>
        </w:tc>
        <w:tc>
          <w:tcPr>
            <w:tcW w:w="1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8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(2,933)</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0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(3,137)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420" w:type="dxa"/>
            <w:vAlign w:val="bottom"/>
            <w:shd w:val="clear" w:color="auto" w:fill="CCEEFF"/>
          </w:tcPr>
          <w:p>
            <w:pPr>
              <w:spacing w:after="0"/>
              <w:rPr>
                <w:sz w:val="9"/>
                <w:szCs w:val="9"/>
                <w:color w:val="auto"/>
              </w:rPr>
            </w:pPr>
          </w:p>
        </w:tc>
        <w:tc>
          <w:tcPr>
            <w:tcW w:w="29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tcPr>
          <w:p>
            <w:pPr>
              <w:ind w:left="280"/>
              <w:spacing w:after="0" w:line="112" w:lineRule="exact"/>
              <w:rPr>
                <w:sz w:val="20"/>
                <w:szCs w:val="20"/>
                <w:color w:val="auto"/>
              </w:rPr>
            </w:pPr>
            <w:r>
              <w:rPr>
                <w:rFonts w:ascii="Times New Roman" w:cs="Times New Roman" w:eastAsia="Times New Roman" w:hAnsi="Times New Roman"/>
                <w:sz w:val="10"/>
                <w:szCs w:val="10"/>
                <w:b w:val="1"/>
                <w:bCs w:val="1"/>
                <w:color w:val="auto"/>
              </w:rPr>
              <w:t>New Zealand</w:t>
            </w:r>
          </w:p>
        </w:tc>
        <w:tc>
          <w:tcPr>
            <w:tcW w:w="2900" w:type="dxa"/>
            <w:vAlign w:val="bottom"/>
          </w:tcPr>
          <w:p>
            <w:pPr>
              <w:ind w:left="140"/>
              <w:spacing w:after="0" w:line="112" w:lineRule="exact"/>
              <w:rPr>
                <w:sz w:val="20"/>
                <w:szCs w:val="20"/>
                <w:color w:val="auto"/>
              </w:rPr>
            </w:pPr>
            <w:r>
              <w:rPr>
                <w:rFonts w:ascii="Times New Roman" w:cs="Times New Roman" w:eastAsia="Times New Roman" w:hAnsi="Times New Roman"/>
                <w:sz w:val="10"/>
                <w:szCs w:val="10"/>
                <w:color w:val="auto"/>
              </w:rPr>
              <w:t>Occupancy expense</w:t>
            </w:r>
          </w:p>
        </w:tc>
        <w:tc>
          <w:tcPr>
            <w:tcW w:w="720" w:type="dxa"/>
            <w:vAlign w:val="bottom"/>
            <w:gridSpan w:val="2"/>
          </w:tcPr>
          <w:p>
            <w:pPr>
              <w:jc w:val="right"/>
              <w:ind w:right="115"/>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w:t>
            </w:r>
          </w:p>
        </w:tc>
        <w:tc>
          <w:tcPr>
            <w:tcW w:w="100" w:type="dxa"/>
            <w:vAlign w:val="bottom"/>
          </w:tcPr>
          <w:p>
            <w:pPr>
              <w:spacing w:after="0"/>
              <w:rPr>
                <w:sz w:val="9"/>
                <w:szCs w:val="9"/>
                <w:color w:val="auto"/>
              </w:rPr>
            </w:pPr>
          </w:p>
        </w:tc>
        <w:tc>
          <w:tcPr>
            <w:tcW w:w="360" w:type="dxa"/>
            <w:vAlign w:val="bottom"/>
            <w:gridSpan w:val="2"/>
          </w:tcPr>
          <w:p>
            <w:pPr>
              <w:jc w:val="right"/>
              <w:ind w:right="17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38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(129)</w:t>
            </w:r>
          </w:p>
        </w:tc>
        <w:tc>
          <w:tcPr>
            <w:tcW w:w="180" w:type="dxa"/>
            <w:vAlign w:val="bottom"/>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146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(95)</w:t>
            </w:r>
          </w:p>
        </w:tc>
        <w:tc>
          <w:tcPr>
            <w:tcW w:w="200" w:type="dxa"/>
            <w:vAlign w:val="bottom"/>
            <w:gridSpan w:val="2"/>
          </w:tcPr>
          <w:p>
            <w:pPr>
              <w:jc w:val="right"/>
              <w:ind w:right="115"/>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(350)</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shd w:val="clear" w:color="auto" w:fill="CCEEFF"/>
          </w:tcPr>
          <w:p>
            <w:pPr>
              <w:spacing w:after="0"/>
              <w:rPr>
                <w:sz w:val="9"/>
                <w:szCs w:val="9"/>
                <w:color w:val="auto"/>
              </w:rPr>
            </w:pPr>
          </w:p>
        </w:tc>
        <w:tc>
          <w:tcPr>
            <w:tcW w:w="2900" w:type="dxa"/>
            <w:vAlign w:val="bottom"/>
            <w:shd w:val="clear" w:color="auto" w:fill="CCEEFF"/>
          </w:tcPr>
          <w:p>
            <w:pPr>
              <w:ind w:left="140"/>
              <w:spacing w:after="0" w:line="112" w:lineRule="exact"/>
              <w:rPr>
                <w:sz w:val="20"/>
                <w:szCs w:val="20"/>
                <w:color w:val="auto"/>
              </w:rPr>
            </w:pPr>
            <w:r>
              <w:rPr>
                <w:rFonts w:ascii="Times New Roman" w:cs="Times New Roman" w:eastAsia="Times New Roman" w:hAnsi="Times New Roman"/>
                <w:sz w:val="10"/>
                <w:szCs w:val="10"/>
                <w:color w:val="auto"/>
              </w:rPr>
              <w:t>Labor cost</w:t>
            </w: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gridSpan w:val="2"/>
            <w:shd w:val="clear" w:color="auto" w:fill="CCEEFF"/>
          </w:tcPr>
          <w:p>
            <w:pPr>
              <w:ind w:left="11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(6)</w:t>
            </w:r>
          </w:p>
        </w:tc>
        <w:tc>
          <w:tcPr>
            <w:tcW w:w="180" w:type="dxa"/>
            <w:vAlign w:val="bottom"/>
            <w:shd w:val="clear" w:color="auto" w:fill="CCEEFF"/>
          </w:tcPr>
          <w:p>
            <w:pPr>
              <w:spacing w:after="0"/>
              <w:rPr>
                <w:sz w:val="9"/>
                <w:szCs w:val="9"/>
                <w:color w:val="auto"/>
              </w:rPr>
            </w:pPr>
          </w:p>
        </w:tc>
        <w:tc>
          <w:tcPr>
            <w:tcW w:w="146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(2)</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tcPr>
          <w:p>
            <w:pPr>
              <w:spacing w:after="0"/>
              <w:rPr>
                <w:sz w:val="9"/>
                <w:szCs w:val="9"/>
                <w:color w:val="auto"/>
              </w:rPr>
            </w:pPr>
          </w:p>
        </w:tc>
        <w:tc>
          <w:tcPr>
            <w:tcW w:w="2900" w:type="dxa"/>
            <w:vAlign w:val="bottom"/>
          </w:tcPr>
          <w:p>
            <w:pPr>
              <w:ind w:left="140"/>
              <w:spacing w:after="0" w:line="112" w:lineRule="exact"/>
              <w:rPr>
                <w:sz w:val="20"/>
                <w:szCs w:val="20"/>
                <w:color w:val="auto"/>
              </w:rPr>
            </w:pPr>
            <w:r>
              <w:rPr>
                <w:rFonts w:ascii="Times New Roman" w:cs="Times New Roman" w:eastAsia="Times New Roman" w:hAnsi="Times New Roman"/>
                <w:sz w:val="10"/>
                <w:szCs w:val="10"/>
                <w:color w:val="auto"/>
              </w:rPr>
              <w:t>Utilities</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gridSpan w:val="2"/>
          </w:tcPr>
          <w:p>
            <w:pPr>
              <w:ind w:left="11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(13)</w:t>
            </w:r>
          </w:p>
        </w:tc>
        <w:tc>
          <w:tcPr>
            <w:tcW w:w="180" w:type="dxa"/>
            <w:vAlign w:val="bottom"/>
          </w:tcPr>
          <w:p>
            <w:pPr>
              <w:spacing w:after="0"/>
              <w:rPr>
                <w:sz w:val="9"/>
                <w:szCs w:val="9"/>
                <w:color w:val="auto"/>
              </w:rPr>
            </w:pPr>
          </w:p>
        </w:tc>
        <w:tc>
          <w:tcPr>
            <w:tcW w:w="146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(5)</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shd w:val="clear" w:color="auto" w:fill="CCEEFF"/>
          </w:tcPr>
          <w:p>
            <w:pPr>
              <w:spacing w:after="0"/>
              <w:rPr>
                <w:sz w:val="9"/>
                <w:szCs w:val="9"/>
                <w:color w:val="auto"/>
              </w:rPr>
            </w:pPr>
          </w:p>
        </w:tc>
        <w:tc>
          <w:tcPr>
            <w:tcW w:w="2900" w:type="dxa"/>
            <w:vAlign w:val="bottom"/>
            <w:shd w:val="clear" w:color="auto" w:fill="CCEEFF"/>
          </w:tcPr>
          <w:p>
            <w:pPr>
              <w:ind w:left="140"/>
              <w:spacing w:after="0" w:line="112" w:lineRule="exact"/>
              <w:rPr>
                <w:sz w:val="20"/>
                <w:szCs w:val="20"/>
                <w:color w:val="auto"/>
              </w:rPr>
            </w:pPr>
            <w:r>
              <w:rPr>
                <w:rFonts w:ascii="Times New Roman" w:cs="Times New Roman" w:eastAsia="Times New Roman" w:hAnsi="Times New Roman"/>
                <w:sz w:val="10"/>
                <w:szCs w:val="10"/>
                <w:color w:val="auto"/>
              </w:rPr>
              <w:t>Cleaning and maintenance</w:t>
            </w: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gridSpan w:val="2"/>
            <w:shd w:val="clear" w:color="auto" w:fill="CCEEFF"/>
          </w:tcPr>
          <w:p>
            <w:pPr>
              <w:ind w:left="11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(15)</w:t>
            </w:r>
          </w:p>
        </w:tc>
        <w:tc>
          <w:tcPr>
            <w:tcW w:w="180" w:type="dxa"/>
            <w:vAlign w:val="bottom"/>
            <w:shd w:val="clear" w:color="auto" w:fill="CCEEFF"/>
          </w:tcPr>
          <w:p>
            <w:pPr>
              <w:spacing w:after="0"/>
              <w:rPr>
                <w:sz w:val="9"/>
                <w:szCs w:val="9"/>
                <w:color w:val="auto"/>
              </w:rPr>
            </w:pPr>
          </w:p>
        </w:tc>
        <w:tc>
          <w:tcPr>
            <w:tcW w:w="146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(4)</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(33)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tcPr>
          <w:p>
            <w:pPr>
              <w:spacing w:after="0"/>
              <w:rPr>
                <w:sz w:val="9"/>
                <w:szCs w:val="9"/>
                <w:color w:val="auto"/>
              </w:rPr>
            </w:pPr>
          </w:p>
        </w:tc>
        <w:tc>
          <w:tcPr>
            <w:tcW w:w="2900" w:type="dxa"/>
            <w:vAlign w:val="bottom"/>
          </w:tcPr>
          <w:p>
            <w:pPr>
              <w:ind w:left="140"/>
              <w:spacing w:after="0" w:line="112" w:lineRule="exact"/>
              <w:rPr>
                <w:sz w:val="20"/>
                <w:szCs w:val="20"/>
                <w:color w:val="auto"/>
              </w:rPr>
            </w:pPr>
            <w:r>
              <w:rPr>
                <w:rFonts w:ascii="Times New Roman" w:cs="Times New Roman" w:eastAsia="Times New Roman" w:hAnsi="Times New Roman"/>
                <w:sz w:val="10"/>
                <w:szCs w:val="10"/>
                <w:color w:val="auto"/>
              </w:rPr>
              <w:t>Other operating expenses</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(292)</w:t>
            </w:r>
          </w:p>
        </w:tc>
        <w:tc>
          <w:tcPr>
            <w:tcW w:w="180" w:type="dxa"/>
            <w:vAlign w:val="bottom"/>
          </w:tcPr>
          <w:p>
            <w:pPr>
              <w:spacing w:after="0"/>
              <w:rPr>
                <w:sz w:val="9"/>
                <w:szCs w:val="9"/>
                <w:color w:val="auto"/>
              </w:rPr>
            </w:pPr>
          </w:p>
        </w:tc>
        <w:tc>
          <w:tcPr>
            <w:tcW w:w="146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(338)</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(920)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420" w:type="dxa"/>
            <w:vAlign w:val="bottom"/>
            <w:tcBorders>
              <w:top w:val="single" w:sz="8" w:color="CCEEFF"/>
            </w:tcBorders>
            <w:shd w:val="clear" w:color="auto" w:fill="CCEEFF"/>
          </w:tcPr>
          <w:p>
            <w:pPr>
              <w:spacing w:after="0"/>
              <w:rPr>
                <w:sz w:val="8"/>
                <w:szCs w:val="8"/>
                <w:color w:val="auto"/>
              </w:rPr>
            </w:pPr>
          </w:p>
        </w:tc>
        <w:tc>
          <w:tcPr>
            <w:tcW w:w="29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(71)</w:t>
            </w: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jc w:val="right"/>
              <w:ind w:right="17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2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(455)</w:t>
            </w:r>
          </w:p>
        </w:tc>
        <w:tc>
          <w:tcPr>
            <w:tcW w:w="1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(444)</w:t>
            </w: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(1,369)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420" w:type="dxa"/>
            <w:vAlign w:val="bottom"/>
            <w:tcBorders>
              <w:bottom w:val="single" w:sz="8" w:color="CCEEFF"/>
            </w:tcBorders>
          </w:tcPr>
          <w:p>
            <w:pPr>
              <w:spacing w:after="0"/>
              <w:rPr>
                <w:sz w:val="9"/>
                <w:szCs w:val="9"/>
                <w:color w:val="auto"/>
              </w:rPr>
            </w:pPr>
          </w:p>
        </w:tc>
        <w:tc>
          <w:tcPr>
            <w:tcW w:w="2900" w:type="dxa"/>
            <w:vAlign w:val="bottom"/>
            <w:tcBorders>
              <w:bottom w:val="single" w:sz="8" w:color="CCEEFF"/>
            </w:tcBorders>
          </w:tcPr>
          <w:p>
            <w:pPr>
              <w:spacing w:after="0"/>
              <w:rPr>
                <w:sz w:val="9"/>
                <w:szCs w:val="9"/>
                <w:color w:val="auto"/>
              </w:rPr>
            </w:pPr>
          </w:p>
        </w:tc>
        <w:tc>
          <w:tcPr>
            <w:tcW w:w="54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420" w:type="dxa"/>
            <w:vAlign w:val="bottom"/>
            <w:tcBorders>
              <w:bottom w:val="single" w:sz="8" w:color="CCEEFF"/>
            </w:tcBorders>
            <w:shd w:val="clear" w:color="auto" w:fill="CCEEFF"/>
          </w:tcPr>
          <w:p>
            <w:pPr>
              <w:ind w:left="280"/>
              <w:spacing w:after="0" w:line="111" w:lineRule="exact"/>
              <w:rPr>
                <w:sz w:val="20"/>
                <w:szCs w:val="20"/>
                <w:color w:val="auto"/>
              </w:rPr>
            </w:pPr>
            <w:r>
              <w:rPr>
                <w:rFonts w:ascii="Times New Roman" w:cs="Times New Roman" w:eastAsia="Times New Roman" w:hAnsi="Times New Roman"/>
                <w:sz w:val="10"/>
                <w:szCs w:val="10"/>
                <w:b w:val="1"/>
                <w:bCs w:val="1"/>
                <w:color w:val="auto"/>
              </w:rPr>
              <w:t>Total operating expense</w:t>
            </w:r>
          </w:p>
        </w:tc>
        <w:tc>
          <w:tcPr>
            <w:tcW w:w="290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8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(1,863)</w:t>
            </w:r>
          </w:p>
        </w:tc>
        <w:tc>
          <w:tcPr>
            <w:tcW w:w="1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jc w:val="right"/>
              <w:ind w:right="170"/>
              <w:spacing w:after="0" w:line="11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2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(2,106)</w:t>
            </w:r>
          </w:p>
        </w:tc>
        <w:tc>
          <w:tcPr>
            <w:tcW w:w="18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8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(5,658)</w:t>
            </w:r>
          </w:p>
        </w:tc>
        <w:tc>
          <w:tcPr>
            <w:tcW w:w="18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(6,801)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4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32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DEPRECIATION, AMORTIZATION, GENERAL AND ADMINISTRATIVE EXPENSE</w:t>
            </w: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tcPr>
          <w:p>
            <w:pPr>
              <w:ind w:left="280"/>
              <w:spacing w:after="0" w:line="112" w:lineRule="exact"/>
              <w:rPr>
                <w:sz w:val="20"/>
                <w:szCs w:val="20"/>
                <w:color w:val="auto"/>
              </w:rPr>
            </w:pPr>
            <w:r>
              <w:rPr>
                <w:rFonts w:ascii="Times New Roman" w:cs="Times New Roman" w:eastAsia="Times New Roman" w:hAnsi="Times New Roman"/>
                <w:sz w:val="10"/>
                <w:szCs w:val="10"/>
                <w:b w:val="1"/>
                <w:bCs w:val="1"/>
                <w:color w:val="auto"/>
              </w:rPr>
              <w:t>United States</w:t>
            </w:r>
          </w:p>
        </w:tc>
        <w:tc>
          <w:tcPr>
            <w:tcW w:w="2900" w:type="dxa"/>
            <w:vAlign w:val="bottom"/>
          </w:tcPr>
          <w:p>
            <w:pPr>
              <w:ind w:left="140"/>
              <w:spacing w:after="0" w:line="112"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720" w:type="dxa"/>
            <w:vAlign w:val="bottom"/>
            <w:gridSpan w:val="2"/>
          </w:tcPr>
          <w:p>
            <w:pPr>
              <w:jc w:val="right"/>
              <w:ind w:right="115"/>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(658)</w:t>
            </w:r>
          </w:p>
        </w:tc>
        <w:tc>
          <w:tcPr>
            <w:tcW w:w="100" w:type="dxa"/>
            <w:vAlign w:val="bottom"/>
          </w:tcPr>
          <w:p>
            <w:pPr>
              <w:spacing w:after="0"/>
              <w:rPr>
                <w:sz w:val="9"/>
                <w:szCs w:val="9"/>
                <w:color w:val="auto"/>
              </w:rPr>
            </w:pPr>
          </w:p>
        </w:tc>
        <w:tc>
          <w:tcPr>
            <w:tcW w:w="360" w:type="dxa"/>
            <w:vAlign w:val="bottom"/>
            <w:gridSpan w:val="2"/>
          </w:tcPr>
          <w:p>
            <w:pPr>
              <w:jc w:val="right"/>
              <w:ind w:right="17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38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(673)</w:t>
            </w:r>
          </w:p>
        </w:tc>
        <w:tc>
          <w:tcPr>
            <w:tcW w:w="180" w:type="dxa"/>
            <w:vAlign w:val="bottom"/>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146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(1,991)</w:t>
            </w:r>
          </w:p>
        </w:tc>
        <w:tc>
          <w:tcPr>
            <w:tcW w:w="200" w:type="dxa"/>
            <w:vAlign w:val="bottom"/>
            <w:gridSpan w:val="2"/>
          </w:tcPr>
          <w:p>
            <w:pPr>
              <w:jc w:val="right"/>
              <w:ind w:right="115"/>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(2,089)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shd w:val="clear" w:color="auto" w:fill="CCEEFF"/>
          </w:tcPr>
          <w:p>
            <w:pPr>
              <w:spacing w:after="0"/>
              <w:rPr>
                <w:sz w:val="9"/>
                <w:szCs w:val="9"/>
                <w:color w:val="auto"/>
              </w:rPr>
            </w:pPr>
          </w:p>
        </w:tc>
        <w:tc>
          <w:tcPr>
            <w:tcW w:w="2900" w:type="dxa"/>
            <w:vAlign w:val="bottom"/>
            <w:shd w:val="clear" w:color="auto" w:fill="CCEEFF"/>
          </w:tcPr>
          <w:p>
            <w:pPr>
              <w:ind w:left="140"/>
              <w:spacing w:after="0" w:line="112" w:lineRule="exact"/>
              <w:rPr>
                <w:sz w:val="20"/>
                <w:szCs w:val="20"/>
                <w:color w:val="auto"/>
              </w:rPr>
            </w:pPr>
            <w:r>
              <w:rPr>
                <w:rFonts w:ascii="Times New Roman" w:cs="Times New Roman" w:eastAsia="Times New Roman" w:hAnsi="Times New Roman"/>
                <w:sz w:val="10"/>
                <w:szCs w:val="10"/>
                <w:color w:val="auto"/>
              </w:rPr>
              <w:t>General and administrative expense</w:t>
            </w: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(168)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(193)</w:t>
            </w:r>
          </w:p>
        </w:tc>
        <w:tc>
          <w:tcPr>
            <w:tcW w:w="180" w:type="dxa"/>
            <w:vAlign w:val="bottom"/>
            <w:shd w:val="clear" w:color="auto" w:fill="CCEEFF"/>
          </w:tcPr>
          <w:p>
            <w:pPr>
              <w:spacing w:after="0"/>
              <w:rPr>
                <w:sz w:val="9"/>
                <w:szCs w:val="9"/>
                <w:color w:val="auto"/>
              </w:rPr>
            </w:pPr>
          </w:p>
        </w:tc>
        <w:tc>
          <w:tcPr>
            <w:tcW w:w="146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(483)</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(673)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4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(826)</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(866)</w:t>
            </w:r>
          </w:p>
        </w:tc>
        <w:tc>
          <w:tcPr>
            <w:tcW w:w="1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(2,474)</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(2,762)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420" w:type="dxa"/>
            <w:vAlign w:val="bottom"/>
            <w:shd w:val="clear" w:color="auto" w:fill="CCEEFF"/>
          </w:tcPr>
          <w:p>
            <w:pPr>
              <w:spacing w:after="0"/>
              <w:rPr>
                <w:sz w:val="9"/>
                <w:szCs w:val="9"/>
                <w:color w:val="auto"/>
              </w:rPr>
            </w:pPr>
          </w:p>
        </w:tc>
        <w:tc>
          <w:tcPr>
            <w:tcW w:w="29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tcPr>
          <w:p>
            <w:pPr>
              <w:ind w:left="280"/>
              <w:spacing w:after="0" w:line="112" w:lineRule="exact"/>
              <w:rPr>
                <w:sz w:val="20"/>
                <w:szCs w:val="20"/>
                <w:color w:val="auto"/>
              </w:rPr>
            </w:pPr>
            <w:r>
              <w:rPr>
                <w:rFonts w:ascii="Times New Roman" w:cs="Times New Roman" w:eastAsia="Times New Roman" w:hAnsi="Times New Roman"/>
                <w:sz w:val="10"/>
                <w:szCs w:val="10"/>
                <w:b w:val="1"/>
                <w:bCs w:val="1"/>
                <w:color w:val="auto"/>
              </w:rPr>
              <w:t>Australia</w:t>
            </w:r>
          </w:p>
        </w:tc>
        <w:tc>
          <w:tcPr>
            <w:tcW w:w="2900" w:type="dxa"/>
            <w:vAlign w:val="bottom"/>
          </w:tcPr>
          <w:p>
            <w:pPr>
              <w:ind w:left="140"/>
              <w:spacing w:after="0" w:line="112"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720" w:type="dxa"/>
            <w:vAlign w:val="bottom"/>
            <w:gridSpan w:val="2"/>
          </w:tcPr>
          <w:p>
            <w:pPr>
              <w:jc w:val="right"/>
              <w:ind w:right="115"/>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(397)</w:t>
            </w:r>
          </w:p>
        </w:tc>
        <w:tc>
          <w:tcPr>
            <w:tcW w:w="100" w:type="dxa"/>
            <w:vAlign w:val="bottom"/>
          </w:tcPr>
          <w:p>
            <w:pPr>
              <w:spacing w:after="0"/>
              <w:rPr>
                <w:sz w:val="9"/>
                <w:szCs w:val="9"/>
                <w:color w:val="auto"/>
              </w:rPr>
            </w:pPr>
          </w:p>
        </w:tc>
        <w:tc>
          <w:tcPr>
            <w:tcW w:w="360" w:type="dxa"/>
            <w:vAlign w:val="bottom"/>
            <w:gridSpan w:val="2"/>
          </w:tcPr>
          <w:p>
            <w:pPr>
              <w:jc w:val="right"/>
              <w:ind w:right="17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38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(490)</w:t>
            </w:r>
          </w:p>
        </w:tc>
        <w:tc>
          <w:tcPr>
            <w:tcW w:w="180" w:type="dxa"/>
            <w:vAlign w:val="bottom"/>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146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(1,173)</w:t>
            </w:r>
          </w:p>
        </w:tc>
        <w:tc>
          <w:tcPr>
            <w:tcW w:w="200" w:type="dxa"/>
            <w:vAlign w:val="bottom"/>
            <w:gridSpan w:val="2"/>
          </w:tcPr>
          <w:p>
            <w:pPr>
              <w:jc w:val="right"/>
              <w:ind w:right="115"/>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(1,632)</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shd w:val="clear" w:color="auto" w:fill="CCEEFF"/>
          </w:tcPr>
          <w:p>
            <w:pPr>
              <w:spacing w:after="0"/>
              <w:rPr>
                <w:sz w:val="9"/>
                <w:szCs w:val="9"/>
                <w:color w:val="auto"/>
              </w:rPr>
            </w:pPr>
          </w:p>
        </w:tc>
        <w:tc>
          <w:tcPr>
            <w:tcW w:w="2900" w:type="dxa"/>
            <w:vAlign w:val="bottom"/>
            <w:shd w:val="clear" w:color="auto" w:fill="CCEEFF"/>
          </w:tcPr>
          <w:p>
            <w:pPr>
              <w:ind w:left="140"/>
              <w:spacing w:after="0" w:line="112" w:lineRule="exact"/>
              <w:rPr>
                <w:sz w:val="20"/>
                <w:szCs w:val="20"/>
                <w:color w:val="auto"/>
              </w:rPr>
            </w:pPr>
            <w:r>
              <w:rPr>
                <w:rFonts w:ascii="Times New Roman" w:cs="Times New Roman" w:eastAsia="Times New Roman" w:hAnsi="Times New Roman"/>
                <w:sz w:val="10"/>
                <w:szCs w:val="10"/>
                <w:color w:val="auto"/>
              </w:rPr>
              <w:t>General and administrative expense</w:t>
            </w: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(34)</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7</w:t>
            </w: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6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(121)</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(52)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4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(431)</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(483)</w:t>
            </w:r>
          </w:p>
        </w:tc>
        <w:tc>
          <w:tcPr>
            <w:tcW w:w="1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(1,294)</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(1,684)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420" w:type="dxa"/>
            <w:vAlign w:val="bottom"/>
            <w:shd w:val="clear" w:color="auto" w:fill="CCEEFF"/>
          </w:tcPr>
          <w:p>
            <w:pPr>
              <w:spacing w:after="0"/>
              <w:rPr>
                <w:sz w:val="9"/>
                <w:szCs w:val="9"/>
                <w:color w:val="auto"/>
              </w:rPr>
            </w:pPr>
          </w:p>
        </w:tc>
        <w:tc>
          <w:tcPr>
            <w:tcW w:w="29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tcPr>
          <w:p>
            <w:pPr>
              <w:ind w:left="280"/>
              <w:spacing w:after="0" w:line="112" w:lineRule="exact"/>
              <w:rPr>
                <w:sz w:val="20"/>
                <w:szCs w:val="20"/>
                <w:color w:val="auto"/>
              </w:rPr>
            </w:pPr>
            <w:r>
              <w:rPr>
                <w:rFonts w:ascii="Times New Roman" w:cs="Times New Roman" w:eastAsia="Times New Roman" w:hAnsi="Times New Roman"/>
                <w:sz w:val="10"/>
                <w:szCs w:val="10"/>
                <w:b w:val="1"/>
                <w:bCs w:val="1"/>
                <w:color w:val="auto"/>
              </w:rPr>
              <w:t>New Zealand</w:t>
            </w:r>
          </w:p>
        </w:tc>
        <w:tc>
          <w:tcPr>
            <w:tcW w:w="2900" w:type="dxa"/>
            <w:vAlign w:val="bottom"/>
          </w:tcPr>
          <w:p>
            <w:pPr>
              <w:ind w:left="140"/>
              <w:spacing w:after="0" w:line="112"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(47)</w:t>
            </w:r>
          </w:p>
        </w:tc>
        <w:tc>
          <w:tcPr>
            <w:tcW w:w="180" w:type="dxa"/>
            <w:vAlign w:val="bottom"/>
          </w:tcPr>
          <w:p>
            <w:pPr>
              <w:spacing w:after="0"/>
              <w:rPr>
                <w:sz w:val="9"/>
                <w:szCs w:val="9"/>
                <w:color w:val="auto"/>
              </w:rPr>
            </w:pPr>
          </w:p>
        </w:tc>
        <w:tc>
          <w:tcPr>
            <w:tcW w:w="146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(177)</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(363)</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shd w:val="clear" w:color="auto" w:fill="CCEEFF"/>
          </w:tcPr>
          <w:p>
            <w:pPr>
              <w:spacing w:after="0"/>
              <w:rPr>
                <w:sz w:val="9"/>
                <w:szCs w:val="9"/>
                <w:color w:val="auto"/>
              </w:rPr>
            </w:pPr>
          </w:p>
        </w:tc>
        <w:tc>
          <w:tcPr>
            <w:tcW w:w="2900" w:type="dxa"/>
            <w:vAlign w:val="bottom"/>
            <w:shd w:val="clear" w:color="auto" w:fill="CCEEFF"/>
          </w:tcPr>
          <w:p>
            <w:pPr>
              <w:ind w:left="140"/>
              <w:spacing w:after="0" w:line="112" w:lineRule="exact"/>
              <w:rPr>
                <w:sz w:val="20"/>
                <w:szCs w:val="20"/>
                <w:color w:val="auto"/>
              </w:rPr>
            </w:pPr>
            <w:r>
              <w:rPr>
                <w:rFonts w:ascii="Times New Roman" w:cs="Times New Roman" w:eastAsia="Times New Roman" w:hAnsi="Times New Roman"/>
                <w:sz w:val="10"/>
                <w:szCs w:val="10"/>
                <w:color w:val="auto"/>
              </w:rPr>
              <w:t>General and administrative expense</w:t>
            </w: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gridSpan w:val="2"/>
            <w:shd w:val="clear" w:color="auto" w:fill="CCEEFF"/>
          </w:tcPr>
          <w:p>
            <w:pPr>
              <w:ind w:left="11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146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4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(60)</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(47)</w:t>
            </w:r>
          </w:p>
        </w:tc>
        <w:tc>
          <w:tcPr>
            <w:tcW w:w="1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(178)</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(363)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320" w:type="dxa"/>
            <w:vAlign w:val="bottom"/>
            <w:tcBorders>
              <w:bottom w:val="single" w:sz="8" w:color="CCEEFF"/>
            </w:tcBorders>
            <w:gridSpan w:val="2"/>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300" w:type="dxa"/>
            <w:vAlign w:val="bottom"/>
            <w:tcBorders>
              <w:bottom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4320" w:type="dxa"/>
            <w:vAlign w:val="bottom"/>
            <w:tcBorders>
              <w:bottom w:val="single" w:sz="8" w:color="CCEEFF"/>
            </w:tcBorders>
            <w:gridSpan w:val="2"/>
          </w:tcPr>
          <w:p>
            <w:pPr>
              <w:ind w:left="280"/>
              <w:spacing w:after="0" w:line="91" w:lineRule="exact"/>
              <w:rPr>
                <w:sz w:val="20"/>
                <w:szCs w:val="20"/>
                <w:color w:val="auto"/>
              </w:rPr>
            </w:pPr>
            <w:r>
              <w:rPr>
                <w:rFonts w:ascii="Times New Roman" w:cs="Times New Roman" w:eastAsia="Times New Roman" w:hAnsi="Times New Roman"/>
                <w:sz w:val="10"/>
                <w:szCs w:val="10"/>
                <w:b w:val="1"/>
                <w:bCs w:val="1"/>
                <w:color w:val="auto"/>
              </w:rPr>
              <w:t>Total depreciation, amortization, general and administrative expense</w:t>
            </w:r>
          </w:p>
        </w:tc>
        <w:tc>
          <w:tcPr>
            <w:tcW w:w="54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(1,317)</w:t>
            </w:r>
          </w:p>
        </w:tc>
        <w:tc>
          <w:tcPr>
            <w:tcW w:w="10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jc w:val="right"/>
              <w:ind w:right="170"/>
              <w:spacing w:after="0" w:line="9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2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(1,396)</w:t>
            </w:r>
          </w:p>
        </w:tc>
        <w:tc>
          <w:tcPr>
            <w:tcW w:w="18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(3,946)</w:t>
            </w:r>
          </w:p>
        </w:tc>
        <w:tc>
          <w:tcPr>
            <w:tcW w:w="18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(4,809)</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420" w:type="dxa"/>
            <w:vAlign w:val="bottom"/>
            <w:shd w:val="clear" w:color="auto" w:fill="CCEEFF"/>
          </w:tcPr>
          <w:p>
            <w:pPr>
              <w:spacing w:after="0"/>
              <w:rPr>
                <w:sz w:val="9"/>
                <w:szCs w:val="9"/>
                <w:color w:val="auto"/>
              </w:rPr>
            </w:pPr>
          </w:p>
        </w:tc>
        <w:tc>
          <w:tcPr>
            <w:tcW w:w="29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32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OPERATING INCOME (LOSS) - REAL ESTATE</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shd w:val="clear" w:color="auto" w:fill="CCEEFF"/>
          </w:tcPr>
          <w:p>
            <w:pPr>
              <w:ind w:left="280"/>
              <w:spacing w:after="0" w:line="112" w:lineRule="exact"/>
              <w:rPr>
                <w:sz w:val="20"/>
                <w:szCs w:val="20"/>
                <w:color w:val="auto"/>
              </w:rPr>
            </w:pPr>
            <w:r>
              <w:rPr>
                <w:rFonts w:ascii="Times New Roman" w:cs="Times New Roman" w:eastAsia="Times New Roman" w:hAnsi="Times New Roman"/>
                <w:sz w:val="10"/>
                <w:szCs w:val="10"/>
                <w:b w:val="1"/>
                <w:bCs w:val="1"/>
                <w:color w:val="auto"/>
              </w:rPr>
              <w:t>United States</w:t>
            </w:r>
          </w:p>
        </w:tc>
        <w:tc>
          <w:tcPr>
            <w:tcW w:w="29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15"/>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253</w:t>
            </w:r>
          </w:p>
        </w:tc>
        <w:tc>
          <w:tcPr>
            <w:tcW w:w="10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17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38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(76)</w:t>
            </w:r>
          </w:p>
        </w:tc>
        <w:tc>
          <w:tcPr>
            <w:tcW w:w="1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12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484</w:t>
            </w:r>
          </w:p>
        </w:tc>
        <w:tc>
          <w:tcPr>
            <w:tcW w:w="180" w:type="dxa"/>
            <w:vAlign w:val="bottom"/>
            <w:shd w:val="clear" w:color="auto" w:fill="CCEEFF"/>
          </w:tcPr>
          <w:p>
            <w:pPr>
              <w:spacing w:after="0"/>
              <w:rPr>
                <w:sz w:val="9"/>
                <w:szCs w:val="9"/>
                <w:color w:val="auto"/>
              </w:rPr>
            </w:pPr>
          </w:p>
        </w:tc>
        <w:tc>
          <w:tcPr>
            <w:tcW w:w="200" w:type="dxa"/>
            <w:vAlign w:val="bottom"/>
            <w:gridSpan w:val="2"/>
            <w:shd w:val="clear" w:color="auto" w:fill="CCEEFF"/>
          </w:tcPr>
          <w:p>
            <w:pPr>
              <w:jc w:val="right"/>
              <w:ind w:right="115"/>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(645)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tcPr>
          <w:p>
            <w:pPr>
              <w:ind w:left="280"/>
              <w:spacing w:after="0" w:line="112" w:lineRule="exact"/>
              <w:rPr>
                <w:sz w:val="20"/>
                <w:szCs w:val="20"/>
                <w:color w:val="auto"/>
              </w:rPr>
            </w:pPr>
            <w:r>
              <w:rPr>
                <w:rFonts w:ascii="Times New Roman" w:cs="Times New Roman" w:eastAsia="Times New Roman" w:hAnsi="Times New Roman"/>
                <w:sz w:val="10"/>
                <w:szCs w:val="10"/>
                <w:b w:val="1"/>
                <w:bCs w:val="1"/>
                <w:color w:val="auto"/>
              </w:rPr>
              <w:t>Australia</w:t>
            </w:r>
          </w:p>
        </w:tc>
        <w:tc>
          <w:tcPr>
            <w:tcW w:w="29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1,044</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1,602</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3,923</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4,521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shd w:val="clear" w:color="auto" w:fill="CCEEFF"/>
          </w:tcPr>
          <w:p>
            <w:pPr>
              <w:ind w:left="280"/>
              <w:spacing w:after="0" w:line="112" w:lineRule="exact"/>
              <w:rPr>
                <w:sz w:val="20"/>
                <w:szCs w:val="20"/>
                <w:color w:val="auto"/>
              </w:rPr>
            </w:pPr>
            <w:r>
              <w:rPr>
                <w:rFonts w:ascii="Times New Roman" w:cs="Times New Roman" w:eastAsia="Times New Roman" w:hAnsi="Times New Roman"/>
                <w:sz w:val="10"/>
                <w:szCs w:val="10"/>
                <w:b w:val="1"/>
                <w:bCs w:val="1"/>
                <w:color w:val="auto"/>
              </w:rPr>
              <w:t>New Zealand</w:t>
            </w:r>
          </w:p>
        </w:tc>
        <w:tc>
          <w:tcPr>
            <w:tcW w:w="29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90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0"/>
                <w:szCs w:val="10"/>
                <w:color w:val="auto"/>
              </w:rPr>
              <w:t>(130)</w:t>
            </w:r>
          </w:p>
        </w:tc>
        <w:tc>
          <w:tcPr>
            <w:tcW w:w="180" w:type="dxa"/>
            <w:vAlign w:val="bottom"/>
            <w:shd w:val="clear" w:color="auto" w:fill="CCEEFF"/>
          </w:tcPr>
          <w:p>
            <w:pPr>
              <w:spacing w:after="0"/>
              <w:rPr>
                <w:sz w:val="9"/>
                <w:szCs w:val="9"/>
                <w:color w:val="auto"/>
              </w:rPr>
            </w:pPr>
          </w:p>
        </w:tc>
        <w:tc>
          <w:tcPr>
            <w:tcW w:w="12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54</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(642)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320" w:type="dxa"/>
            <w:vAlign w:val="bottom"/>
            <w:gridSpan w:val="2"/>
          </w:tcPr>
          <w:p>
            <w:pPr>
              <w:ind w:left="280"/>
              <w:spacing w:after="0" w:line="101" w:lineRule="exact"/>
              <w:rPr>
                <w:sz w:val="20"/>
                <w:szCs w:val="20"/>
                <w:color w:val="auto"/>
              </w:rPr>
            </w:pPr>
            <w:r>
              <w:rPr>
                <w:rFonts w:ascii="Times New Roman" w:cs="Times New Roman" w:eastAsia="Times New Roman" w:hAnsi="Times New Roman"/>
                <w:sz w:val="10"/>
                <w:szCs w:val="10"/>
                <w:b w:val="1"/>
                <w:bCs w:val="1"/>
                <w:color w:val="auto"/>
              </w:rPr>
              <w:t>Total real estate operating income (loss)</w:t>
            </w:r>
          </w:p>
        </w:tc>
        <w:tc>
          <w:tcPr>
            <w:tcW w:w="540" w:type="dxa"/>
            <w:vAlign w:val="bottom"/>
          </w:tcPr>
          <w:p>
            <w:pPr>
              <w:spacing w:after="0"/>
              <w:rPr>
                <w:sz w:val="9"/>
                <w:szCs w:val="9"/>
                <w:color w:val="auto"/>
              </w:rPr>
            </w:pPr>
          </w:p>
        </w:tc>
        <w:tc>
          <w:tcPr>
            <w:tcW w:w="1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8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1,387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top w:val="single" w:sz="8" w:color="auto"/>
              <w:bottom w:val="single" w:sz="8" w:color="auto"/>
            </w:tcBorders>
          </w:tcPr>
          <w:p>
            <w:pPr>
              <w:jc w:val="right"/>
              <w:ind w:right="17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20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1,396</w:t>
            </w:r>
          </w:p>
        </w:tc>
        <w:tc>
          <w:tcPr>
            <w:tcW w:w="180" w:type="dxa"/>
            <w:vAlign w:val="bottom"/>
          </w:tcPr>
          <w:p>
            <w:pPr>
              <w:spacing w:after="0"/>
              <w:rPr>
                <w:sz w:val="9"/>
                <w:szCs w:val="9"/>
                <w:color w:val="auto"/>
              </w:rPr>
            </w:pPr>
          </w:p>
        </w:tc>
        <w:tc>
          <w:tcPr>
            <w:tcW w:w="1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8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4,461</w:t>
            </w:r>
          </w:p>
        </w:tc>
        <w:tc>
          <w:tcPr>
            <w:tcW w:w="1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0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3,234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144145</wp:posOffset>
            </wp:positionV>
            <wp:extent cx="720026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387"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color w:val="auto"/>
        </w:rPr>
        <w:t>A reconciliation of segment operating income to income before income taxes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92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200" w:type="dxa"/>
            <w:vAlign w:val="bottom"/>
          </w:tcPr>
          <w:p>
            <w:pPr>
              <w:spacing w:after="0"/>
              <w:rPr>
                <w:sz w:val="11"/>
                <w:szCs w:val="11"/>
                <w:color w:val="auto"/>
              </w:rPr>
            </w:pPr>
          </w:p>
        </w:tc>
        <w:tc>
          <w:tcPr>
            <w:tcW w:w="2600" w:type="dxa"/>
            <w:vAlign w:val="bottom"/>
            <w:gridSpan w:val="7"/>
          </w:tcPr>
          <w:p>
            <w:pPr>
              <w:ind w:left="800"/>
              <w:spacing w:after="0"/>
              <w:rPr>
                <w:sz w:val="20"/>
                <w:szCs w:val="20"/>
                <w:color w:val="auto"/>
              </w:rPr>
            </w:pPr>
            <w:r>
              <w:rPr>
                <w:rFonts w:ascii="Times New Roman" w:cs="Times New Roman" w:eastAsia="Times New Roman" w:hAnsi="Times New Roman"/>
                <w:sz w:val="10"/>
                <w:szCs w:val="10"/>
                <w:b w:val="1"/>
                <w:bCs w:val="1"/>
                <w:color w:val="auto"/>
              </w:rPr>
              <w:t>Quarter Ended</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3"/>
          </w:tcPr>
          <w:p>
            <w:pPr>
              <w:jc w:val="right"/>
              <w:ind w:right="287"/>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5920" w:type="dxa"/>
            <w:vAlign w:val="bottom"/>
            <w:vMerge w:val="continue"/>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gridSpan w:val="2"/>
          </w:tcPr>
          <w:p>
            <w:pPr>
              <w:jc w:val="right"/>
              <w:ind w:right="360"/>
              <w:spacing w:after="0" w:line="111" w:lineRule="exact"/>
              <w:rPr>
                <w:sz w:val="20"/>
                <w:szCs w:val="20"/>
                <w:color w:val="auto"/>
              </w:rPr>
            </w:pPr>
            <w:r>
              <w:rPr>
                <w:rFonts w:ascii="Times New Roman" w:cs="Times New Roman" w:eastAsia="Times New Roman" w:hAnsi="Times New Roman"/>
                <w:sz w:val="10"/>
                <w:szCs w:val="10"/>
                <w:b w:val="1"/>
                <w:bCs w:val="1"/>
                <w:color w:val="auto"/>
                <w:w w:val="98"/>
              </w:rPr>
              <w:t>September 30, 2025</w:t>
            </w: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gridSpan w:val="2"/>
          </w:tcPr>
          <w:p>
            <w:pPr>
              <w:jc w:val="right"/>
              <w:ind w:right="146"/>
              <w:spacing w:after="0" w:line="111" w:lineRule="exact"/>
              <w:rPr>
                <w:sz w:val="20"/>
                <w:szCs w:val="20"/>
                <w:color w:val="auto"/>
              </w:rPr>
            </w:pPr>
            <w:r>
              <w:rPr>
                <w:rFonts w:ascii="Times New Roman" w:cs="Times New Roman" w:eastAsia="Times New Roman" w:hAnsi="Times New Roman"/>
                <w:sz w:val="10"/>
                <w:szCs w:val="10"/>
                <w:b w:val="1"/>
                <w:bCs w:val="1"/>
                <w:color w:val="auto"/>
              </w:rPr>
              <w:t>September 30, 2024</w:t>
            </w:r>
          </w:p>
        </w:tc>
        <w:tc>
          <w:tcPr>
            <w:tcW w:w="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gridSpan w:val="4"/>
          </w:tcPr>
          <w:p>
            <w:pPr>
              <w:ind w:left="80"/>
              <w:spacing w:after="0" w:line="111" w:lineRule="exact"/>
              <w:rPr>
                <w:sz w:val="20"/>
                <w:szCs w:val="20"/>
                <w:color w:val="auto"/>
              </w:rPr>
            </w:pPr>
            <w:r>
              <w:rPr>
                <w:rFonts w:ascii="Times New Roman" w:cs="Times New Roman" w:eastAsia="Times New Roman" w:hAnsi="Times New Roman"/>
                <w:sz w:val="10"/>
                <w:szCs w:val="10"/>
                <w:b w:val="1"/>
                <w:bCs w:val="1"/>
                <w:color w:val="auto"/>
              </w:rPr>
              <w:t>September 30, 2025</w:t>
            </w:r>
          </w:p>
        </w:tc>
        <w:tc>
          <w:tcPr>
            <w:tcW w:w="1200" w:type="dxa"/>
            <w:vAlign w:val="bottom"/>
            <w:tcBorders>
              <w:top w:val="single" w:sz="8" w:color="auto"/>
            </w:tcBorders>
            <w:gridSpan w:val="2"/>
          </w:tcPr>
          <w:p>
            <w:pPr>
              <w:jc w:val="right"/>
              <w:ind w:right="118"/>
              <w:spacing w:after="0" w:line="111" w:lineRule="exact"/>
              <w:rPr>
                <w:sz w:val="20"/>
                <w:szCs w:val="20"/>
                <w:color w:val="auto"/>
              </w:rPr>
            </w:pPr>
            <w:r>
              <w:rPr>
                <w:rFonts w:ascii="Times New Roman" w:cs="Times New Roman" w:eastAsia="Times New Roman" w:hAnsi="Times New Roman"/>
                <w:sz w:val="10"/>
                <w:szCs w:val="10"/>
                <w:b w:val="1"/>
                <w:bCs w:val="1"/>
                <w:color w:val="auto"/>
              </w:rPr>
              <w:t>September 30, 2024</w:t>
            </w:r>
          </w:p>
        </w:tc>
        <w:tc>
          <w:tcPr>
            <w:tcW w:w="0" w:type="dxa"/>
            <w:vAlign w:val="bottom"/>
          </w:tcPr>
          <w:p>
            <w:pPr>
              <w:spacing w:after="0"/>
              <w:rPr>
                <w:sz w:val="1"/>
                <w:szCs w:val="1"/>
                <w:color w:val="auto"/>
              </w:rPr>
            </w:pPr>
          </w:p>
        </w:tc>
      </w:tr>
      <w:tr>
        <w:trPr>
          <w:trHeight w:val="129"/>
        </w:trPr>
        <w:tc>
          <w:tcPr>
            <w:tcW w:w="59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Segment operating income (loss)</w:t>
            </w:r>
          </w:p>
        </w:tc>
        <w:tc>
          <w:tcPr>
            <w:tcW w:w="200" w:type="dxa"/>
            <w:vAlign w:val="bottom"/>
            <w:tcBorders>
              <w:top w:val="single" w:sz="8" w:color="auto"/>
            </w:tcBorders>
            <w:shd w:val="clear" w:color="auto" w:fill="CCEEFF"/>
          </w:tcPr>
          <w:p>
            <w:pPr>
              <w:jc w:val="right"/>
              <w:ind w:right="58"/>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3,143</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3,609</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gridSpan w:val="2"/>
            <w:shd w:val="clear" w:color="auto" w:fill="CCEEFF"/>
          </w:tcPr>
          <w:p>
            <w:pPr>
              <w:jc w:val="right"/>
              <w:ind w:right="4"/>
              <w:spacing w:after="0" w:line="129" w:lineRule="exact"/>
              <w:rPr>
                <w:sz w:val="20"/>
                <w:szCs w:val="20"/>
                <w:color w:val="auto"/>
              </w:rPr>
            </w:pPr>
            <w:r>
              <w:rPr>
                <w:rFonts w:ascii="Times New Roman" w:cs="Times New Roman" w:eastAsia="Times New Roman" w:hAnsi="Times New Roman"/>
                <w:sz w:val="12"/>
                <w:szCs w:val="12"/>
                <w:color w:val="auto"/>
              </w:rPr>
              <w:t>7,193</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ind w:right="56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(3,329)</w:t>
            </w:r>
          </w:p>
        </w:tc>
        <w:tc>
          <w:tcPr>
            <w:tcW w:w="0" w:type="dxa"/>
            <w:vAlign w:val="bottom"/>
          </w:tcPr>
          <w:p>
            <w:pPr>
              <w:spacing w:after="0"/>
              <w:rPr>
                <w:sz w:val="1"/>
                <w:szCs w:val="1"/>
                <w:color w:val="auto"/>
              </w:rPr>
            </w:pPr>
          </w:p>
        </w:tc>
      </w:tr>
      <w:tr>
        <w:trPr>
          <w:trHeight w:val="130"/>
        </w:trPr>
        <w:tc>
          <w:tcPr>
            <w:tcW w:w="592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Unallocated corporate expense:</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920" w:type="dxa"/>
            <w:vAlign w:val="bottom"/>
            <w:shd w:val="clear" w:color="auto" w:fill="CCEEFF"/>
          </w:tcPr>
          <w:p>
            <w:pPr>
              <w:ind w:left="60"/>
              <w:spacing w:after="0" w:line="130" w:lineRule="exact"/>
              <w:rPr>
                <w:sz w:val="20"/>
                <w:szCs w:val="20"/>
                <w:color w:val="auto"/>
              </w:rPr>
            </w:pPr>
            <w:r>
              <w:rPr>
                <w:rFonts w:ascii="Times New Roman" w:cs="Times New Roman" w:eastAsia="Times New Roman" w:hAnsi="Times New Roman"/>
                <w:sz w:val="12"/>
                <w:szCs w:val="12"/>
                <w:color w:val="auto"/>
              </w:rPr>
              <w:t>Depreciation and amortization expense</w:t>
            </w:r>
          </w:p>
        </w:tc>
        <w:tc>
          <w:tcPr>
            <w:tcW w:w="2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(75)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(106)</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40"/>
              <w:spacing w:after="0" w:line="130" w:lineRule="exact"/>
              <w:rPr>
                <w:sz w:val="20"/>
                <w:szCs w:val="20"/>
                <w:color w:val="auto"/>
              </w:rPr>
            </w:pPr>
            <w:r>
              <w:rPr>
                <w:rFonts w:ascii="Times New Roman" w:cs="Times New Roman" w:eastAsia="Times New Roman" w:hAnsi="Times New Roman"/>
                <w:sz w:val="12"/>
                <w:szCs w:val="12"/>
                <w:color w:val="auto"/>
              </w:rPr>
              <w:t>(293)</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(305)</w:t>
            </w:r>
          </w:p>
        </w:tc>
        <w:tc>
          <w:tcPr>
            <w:tcW w:w="0" w:type="dxa"/>
            <w:vAlign w:val="bottom"/>
          </w:tcPr>
          <w:p>
            <w:pPr>
              <w:spacing w:after="0"/>
              <w:rPr>
                <w:sz w:val="1"/>
                <w:szCs w:val="1"/>
                <w:color w:val="auto"/>
              </w:rPr>
            </w:pPr>
          </w:p>
        </w:tc>
      </w:tr>
      <w:tr>
        <w:trPr>
          <w:trHeight w:val="130"/>
        </w:trPr>
        <w:tc>
          <w:tcPr>
            <w:tcW w:w="592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auto"/>
              </w:rPr>
              <w:t>General and administrative expense</w:t>
            </w:r>
          </w:p>
        </w:tc>
        <w:tc>
          <w:tcPr>
            <w:tcW w:w="200" w:type="dxa"/>
            <w:vAlign w:val="bottom"/>
          </w:tcPr>
          <w:p>
            <w:pPr>
              <w:spacing w:after="0"/>
              <w:rPr>
                <w:sz w:val="11"/>
                <w:szCs w:val="11"/>
                <w:color w:val="auto"/>
              </w:rPr>
            </w:pPr>
          </w:p>
        </w:tc>
        <w:tc>
          <w:tcPr>
            <w:tcW w:w="120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(3,397)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(3,846)</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3"/>
          </w:tcPr>
          <w:p>
            <w:pPr>
              <w:jc w:val="right"/>
              <w:ind w:right="140"/>
              <w:spacing w:after="0" w:line="130" w:lineRule="exact"/>
              <w:rPr>
                <w:sz w:val="20"/>
                <w:szCs w:val="20"/>
                <w:color w:val="auto"/>
              </w:rPr>
            </w:pPr>
            <w:r>
              <w:rPr>
                <w:rFonts w:ascii="Times New Roman" w:cs="Times New Roman" w:eastAsia="Times New Roman" w:hAnsi="Times New Roman"/>
                <w:sz w:val="12"/>
                <w:szCs w:val="12"/>
                <w:color w:val="auto"/>
              </w:rPr>
              <w:t>(11,231)</w:t>
            </w:r>
          </w:p>
        </w:tc>
        <w:tc>
          <w:tcPr>
            <w:tcW w:w="68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(11,928)</w:t>
            </w:r>
          </w:p>
        </w:tc>
        <w:tc>
          <w:tcPr>
            <w:tcW w:w="0" w:type="dxa"/>
            <w:vAlign w:val="bottom"/>
          </w:tcPr>
          <w:p>
            <w:pPr>
              <w:spacing w:after="0"/>
              <w:rPr>
                <w:sz w:val="1"/>
                <w:szCs w:val="1"/>
                <w:color w:val="auto"/>
              </w:rPr>
            </w:pPr>
          </w:p>
        </w:tc>
      </w:tr>
      <w:tr>
        <w:trPr>
          <w:trHeight w:val="130"/>
        </w:trPr>
        <w:tc>
          <w:tcPr>
            <w:tcW w:w="5920" w:type="dxa"/>
            <w:vAlign w:val="bottom"/>
            <w:shd w:val="clear" w:color="auto" w:fill="CCEEFF"/>
          </w:tcPr>
          <w:p>
            <w:pPr>
              <w:ind w:left="60"/>
              <w:spacing w:after="0" w:line="130" w:lineRule="exact"/>
              <w:rPr>
                <w:sz w:val="20"/>
                <w:szCs w:val="20"/>
                <w:color w:val="auto"/>
              </w:rPr>
            </w:pPr>
            <w:r>
              <w:rPr>
                <w:rFonts w:ascii="Times New Roman" w:cs="Times New Roman" w:eastAsia="Times New Roman" w:hAnsi="Times New Roman"/>
                <w:sz w:val="12"/>
                <w:szCs w:val="12"/>
                <w:color w:val="auto"/>
              </w:rPr>
              <w:t>Interest expense, net</w:t>
            </w:r>
          </w:p>
        </w:tc>
        <w:tc>
          <w:tcPr>
            <w:tcW w:w="2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(4,174)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(5,245)</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40"/>
              <w:spacing w:after="0" w:line="130" w:lineRule="exact"/>
              <w:rPr>
                <w:sz w:val="20"/>
                <w:szCs w:val="20"/>
                <w:color w:val="auto"/>
              </w:rPr>
            </w:pPr>
            <w:r>
              <w:rPr>
                <w:rFonts w:ascii="Times New Roman" w:cs="Times New Roman" w:eastAsia="Times New Roman" w:hAnsi="Times New Roman"/>
                <w:sz w:val="12"/>
                <w:szCs w:val="12"/>
                <w:color w:val="auto"/>
              </w:rPr>
              <w:t>(13,270)</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(15,907)</w:t>
            </w:r>
          </w:p>
        </w:tc>
        <w:tc>
          <w:tcPr>
            <w:tcW w:w="0" w:type="dxa"/>
            <w:vAlign w:val="bottom"/>
          </w:tcPr>
          <w:p>
            <w:pPr>
              <w:spacing w:after="0"/>
              <w:rPr>
                <w:sz w:val="1"/>
                <w:szCs w:val="1"/>
                <w:color w:val="auto"/>
              </w:rPr>
            </w:pPr>
          </w:p>
        </w:tc>
      </w:tr>
      <w:tr>
        <w:trPr>
          <w:trHeight w:val="130"/>
        </w:trPr>
        <w:tc>
          <w:tcPr>
            <w:tcW w:w="592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Equity earnings (loss) of unconsolidated joint ventures</w:t>
            </w:r>
          </w:p>
        </w:tc>
        <w:tc>
          <w:tcPr>
            <w:tcW w:w="200" w:type="dxa"/>
            <w:vAlign w:val="bottom"/>
          </w:tcPr>
          <w:p>
            <w:pPr>
              <w:spacing w:after="0"/>
              <w:rPr>
                <w:sz w:val="11"/>
                <w:szCs w:val="11"/>
                <w:color w:val="auto"/>
              </w:rPr>
            </w:pPr>
          </w:p>
        </w:tc>
        <w:tc>
          <w:tcPr>
            <w:tcW w:w="10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121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71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jc w:val="right"/>
              <w:ind w:right="4"/>
              <w:spacing w:after="0" w:line="130" w:lineRule="exact"/>
              <w:rPr>
                <w:sz w:val="20"/>
                <w:szCs w:val="20"/>
                <w:color w:val="auto"/>
              </w:rPr>
            </w:pPr>
            <w:r>
              <w:rPr>
                <w:rFonts w:ascii="Times New Roman" w:cs="Times New Roman" w:eastAsia="Times New Roman" w:hAnsi="Times New Roman"/>
                <w:sz w:val="12"/>
                <w:szCs w:val="12"/>
                <w:color w:val="auto"/>
              </w:rPr>
              <w:t>428</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164</w:t>
            </w:r>
          </w:p>
        </w:tc>
        <w:tc>
          <w:tcPr>
            <w:tcW w:w="0" w:type="dxa"/>
            <w:vAlign w:val="bottom"/>
          </w:tcPr>
          <w:p>
            <w:pPr>
              <w:spacing w:after="0"/>
              <w:rPr>
                <w:sz w:val="1"/>
                <w:szCs w:val="1"/>
                <w:color w:val="auto"/>
              </w:rPr>
            </w:pPr>
          </w:p>
        </w:tc>
      </w:tr>
      <w:tr>
        <w:trPr>
          <w:trHeight w:val="130"/>
        </w:trPr>
        <w:tc>
          <w:tcPr>
            <w:tcW w:w="592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Gain (loss) on sale of assets</w:t>
            </w:r>
          </w:p>
        </w:tc>
        <w:tc>
          <w:tcPr>
            <w:tcW w:w="2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(66)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(208)</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
              <w:spacing w:after="0" w:line="130" w:lineRule="exact"/>
              <w:rPr>
                <w:sz w:val="20"/>
                <w:szCs w:val="20"/>
                <w:color w:val="auto"/>
              </w:rPr>
            </w:pPr>
            <w:r>
              <w:rPr>
                <w:rFonts w:ascii="Times New Roman" w:cs="Times New Roman" w:eastAsia="Times New Roman" w:hAnsi="Times New Roman"/>
                <w:sz w:val="12"/>
                <w:szCs w:val="12"/>
                <w:color w:val="auto"/>
              </w:rPr>
              <w:t>8,332</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(1,324)</w:t>
            </w:r>
          </w:p>
        </w:tc>
        <w:tc>
          <w:tcPr>
            <w:tcW w:w="0" w:type="dxa"/>
            <w:vAlign w:val="bottom"/>
          </w:tcPr>
          <w:p>
            <w:pPr>
              <w:spacing w:after="0"/>
              <w:rPr>
                <w:sz w:val="1"/>
                <w:szCs w:val="1"/>
                <w:color w:val="auto"/>
              </w:rPr>
            </w:pPr>
          </w:p>
        </w:tc>
      </w:tr>
      <w:tr>
        <w:trPr>
          <w:trHeight w:val="130"/>
        </w:trPr>
        <w:tc>
          <w:tcPr>
            <w:tcW w:w="592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Other (expense) income</w:t>
            </w:r>
          </w:p>
        </w:tc>
        <w:tc>
          <w:tcPr>
            <w:tcW w:w="200" w:type="dxa"/>
            <w:vAlign w:val="bottom"/>
          </w:tcPr>
          <w:p>
            <w:pPr>
              <w:spacing w:after="0"/>
              <w:rPr>
                <w:sz w:val="11"/>
                <w:szCs w:val="11"/>
                <w:color w:val="auto"/>
              </w:rPr>
            </w:pPr>
          </w:p>
        </w:tc>
        <w:tc>
          <w:tcPr>
            <w:tcW w:w="10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462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(714)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3"/>
          </w:tcPr>
          <w:p>
            <w:pPr>
              <w:jc w:val="right"/>
              <w:ind w:right="140"/>
              <w:spacing w:after="0" w:line="130" w:lineRule="exact"/>
              <w:rPr>
                <w:sz w:val="20"/>
                <w:szCs w:val="20"/>
                <w:color w:val="auto"/>
              </w:rPr>
            </w:pPr>
            <w:r>
              <w:rPr>
                <w:rFonts w:ascii="Times New Roman" w:cs="Times New Roman" w:eastAsia="Times New Roman" w:hAnsi="Times New Roman"/>
                <w:sz w:val="12"/>
                <w:szCs w:val="12"/>
                <w:color w:val="auto"/>
              </w:rPr>
              <w:t>(2,145)</w:t>
            </w:r>
          </w:p>
        </w:tc>
        <w:tc>
          <w:tcPr>
            <w:tcW w:w="68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(593)</w:t>
            </w:r>
          </w:p>
        </w:tc>
        <w:tc>
          <w:tcPr>
            <w:tcW w:w="0" w:type="dxa"/>
            <w:vAlign w:val="bottom"/>
          </w:tcPr>
          <w:p>
            <w:pPr>
              <w:spacing w:after="0"/>
              <w:rPr>
                <w:sz w:val="1"/>
                <w:szCs w:val="1"/>
                <w:color w:val="auto"/>
              </w:rPr>
            </w:pPr>
          </w:p>
        </w:tc>
      </w:tr>
      <w:tr>
        <w:trPr>
          <w:trHeight w:val="120"/>
        </w:trPr>
        <w:tc>
          <w:tcPr>
            <w:tcW w:w="5920" w:type="dxa"/>
            <w:vAlign w:val="bottom"/>
            <w:tcBorders>
              <w:top w:val="single" w:sz="8" w:color="CCEEFF"/>
              <w:bottom w:val="single" w:sz="8" w:color="CCEEFF"/>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Income (loss) before income taxes</w:t>
            </w:r>
          </w:p>
        </w:tc>
        <w:tc>
          <w:tcPr>
            <w:tcW w:w="200" w:type="dxa"/>
            <w:vAlign w:val="bottom"/>
            <w:tcBorders>
              <w:top w:val="single" w:sz="8" w:color="auto"/>
              <w:bottom w:val="single" w:sz="8" w:color="auto"/>
            </w:tcBorders>
            <w:shd w:val="clear" w:color="auto" w:fill="CCEEFF"/>
          </w:tcPr>
          <w:p>
            <w:pPr>
              <w:jc w:val="right"/>
              <w:ind w:right="58"/>
              <w:spacing w:after="0" w:line="120" w:lineRule="exact"/>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(3,986)</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(6,439)</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ind w:right="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(10,986)</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ind w:right="567"/>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(33,222)</w:t>
            </w:r>
          </w:p>
        </w:tc>
        <w:tc>
          <w:tcPr>
            <w:tcW w:w="0" w:type="dxa"/>
            <w:vAlign w:val="bottom"/>
          </w:tcPr>
          <w:p>
            <w:pPr>
              <w:spacing w:after="0"/>
              <w:rPr>
                <w:sz w:val="1"/>
                <w:szCs w:val="1"/>
                <w:color w:val="auto"/>
              </w:rPr>
            </w:pPr>
          </w:p>
        </w:tc>
      </w:tr>
      <w:tr>
        <w:trPr>
          <w:trHeight w:val="277"/>
        </w:trPr>
        <w:tc>
          <w:tcPr>
            <w:tcW w:w="746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Assuming cash and cash equivalents are accounted for as corporate assets, total assets by business segment and by country are presented as follows: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3"/>
          </w:tcPr>
          <w:p>
            <w:pPr>
              <w:jc w:val="right"/>
              <w:ind w:right="23"/>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592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9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By segment:</w:t>
            </w:r>
          </w:p>
        </w:tc>
        <w:tc>
          <w:tcPr>
            <w:tcW w:w="2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92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Cinema</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866"/>
              <w:spacing w:after="0" w:line="130"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184,983</w:t>
            </w:r>
          </w:p>
        </w:tc>
        <w:tc>
          <w:tcPr>
            <w:tcW w:w="640" w:type="dxa"/>
            <w:vAlign w:val="bottom"/>
            <w:gridSpan w:val="2"/>
          </w:tcPr>
          <w:p>
            <w:pPr>
              <w:jc w:val="right"/>
              <w:ind w:right="304"/>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191,008</w:t>
            </w:r>
          </w:p>
        </w:tc>
        <w:tc>
          <w:tcPr>
            <w:tcW w:w="0" w:type="dxa"/>
            <w:vAlign w:val="bottom"/>
          </w:tcPr>
          <w:p>
            <w:pPr>
              <w:spacing w:after="0"/>
              <w:rPr>
                <w:sz w:val="1"/>
                <w:szCs w:val="1"/>
                <w:color w:val="auto"/>
              </w:rPr>
            </w:pPr>
          </w:p>
        </w:tc>
      </w:tr>
      <w:tr>
        <w:trPr>
          <w:trHeight w:val="130"/>
        </w:trPr>
        <w:tc>
          <w:tcPr>
            <w:tcW w:w="592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Real estate</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176,407</w:t>
            </w: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207,044</w:t>
            </w:r>
          </w:p>
        </w:tc>
        <w:tc>
          <w:tcPr>
            <w:tcW w:w="0" w:type="dxa"/>
            <w:vAlign w:val="bottom"/>
          </w:tcPr>
          <w:p>
            <w:pPr>
              <w:spacing w:after="0"/>
              <w:rPr>
                <w:sz w:val="1"/>
                <w:szCs w:val="1"/>
                <w:color w:val="auto"/>
              </w:rPr>
            </w:pPr>
          </w:p>
        </w:tc>
      </w:tr>
      <w:tr>
        <w:trPr>
          <w:trHeight w:val="177"/>
        </w:trPr>
        <w:tc>
          <w:tcPr>
            <w:tcW w:w="5920" w:type="dxa"/>
            <w:vAlign w:val="bottom"/>
            <w:tcBorders>
              <w:bottom w:val="single" w:sz="8" w:color="CCEEFF"/>
            </w:tcBorders>
          </w:tcPr>
          <w:p>
            <w:pPr>
              <w:spacing w:after="0" w:line="177" w:lineRule="exact"/>
              <w:rPr>
                <w:sz w:val="20"/>
                <w:szCs w:val="20"/>
                <w:color w:val="auto"/>
              </w:rPr>
            </w:pPr>
            <w:r>
              <w:rPr>
                <w:rFonts w:ascii="Times New Roman" w:cs="Times New Roman" w:eastAsia="Times New Roman" w:hAnsi="Times New Roman"/>
                <w:sz w:val="12"/>
                <w:szCs w:val="12"/>
                <w:color w:val="auto"/>
              </w:rPr>
              <w:t xml:space="preserve">Corporate </w:t>
            </w:r>
            <w:r>
              <w:rPr>
                <w:rFonts w:ascii="Times New Roman" w:cs="Times New Roman" w:eastAsia="Times New Roman" w:hAnsi="Times New Roman"/>
                <w:sz w:val="20"/>
                <w:szCs w:val="20"/>
                <w:color w:val="auto"/>
                <w:vertAlign w:val="superscript"/>
              </w:rPr>
              <w:t>(1)</w:t>
            </w:r>
          </w:p>
        </w:tc>
        <w:tc>
          <w:tcPr>
            <w:tcW w:w="20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73,796</w:t>
            </w:r>
          </w:p>
        </w:tc>
        <w:tc>
          <w:tcPr>
            <w:tcW w:w="2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72,959</w:t>
            </w:r>
          </w:p>
        </w:tc>
        <w:tc>
          <w:tcPr>
            <w:tcW w:w="0" w:type="dxa"/>
            <w:vAlign w:val="bottom"/>
          </w:tcPr>
          <w:p>
            <w:pPr>
              <w:spacing w:after="0"/>
              <w:rPr>
                <w:sz w:val="1"/>
                <w:szCs w:val="1"/>
                <w:color w:val="auto"/>
              </w:rPr>
            </w:pPr>
          </w:p>
        </w:tc>
      </w:tr>
      <w:tr>
        <w:trPr>
          <w:trHeight w:val="140"/>
        </w:trPr>
        <w:tc>
          <w:tcPr>
            <w:tcW w:w="5920" w:type="dxa"/>
            <w:vAlign w:val="bottom"/>
            <w:tcBorders>
              <w:bottom w:val="single" w:sz="8" w:color="CCEEFF"/>
            </w:tcBorders>
            <w:shd w:val="clear" w:color="auto" w:fill="CCEEFF"/>
          </w:tcPr>
          <w:p>
            <w:pPr>
              <w:ind w:left="60"/>
              <w:spacing w:after="0" w:line="120"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2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866"/>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435,186</w:t>
            </w:r>
          </w:p>
        </w:tc>
        <w:tc>
          <w:tcPr>
            <w:tcW w:w="2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304"/>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471,011</w:t>
            </w:r>
          </w:p>
        </w:tc>
        <w:tc>
          <w:tcPr>
            <w:tcW w:w="0" w:type="dxa"/>
            <w:vAlign w:val="bottom"/>
          </w:tcPr>
          <w:p>
            <w:pPr>
              <w:spacing w:after="0"/>
              <w:rPr>
                <w:sz w:val="1"/>
                <w:szCs w:val="1"/>
                <w:color w:val="auto"/>
              </w:rPr>
            </w:pPr>
          </w:p>
        </w:tc>
      </w:tr>
      <w:tr>
        <w:trPr>
          <w:trHeight w:val="109"/>
        </w:trPr>
        <w:tc>
          <w:tcPr>
            <w:tcW w:w="592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By country:</w:t>
            </w: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92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United States</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866"/>
              <w:spacing w:after="0" w:line="130"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248,690</w:t>
            </w:r>
          </w:p>
        </w:tc>
        <w:tc>
          <w:tcPr>
            <w:tcW w:w="640" w:type="dxa"/>
            <w:vAlign w:val="bottom"/>
            <w:gridSpan w:val="2"/>
            <w:shd w:val="clear" w:color="auto" w:fill="CCEEFF"/>
          </w:tcPr>
          <w:p>
            <w:pPr>
              <w:jc w:val="right"/>
              <w:ind w:right="304"/>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264,284</w:t>
            </w:r>
          </w:p>
        </w:tc>
        <w:tc>
          <w:tcPr>
            <w:tcW w:w="0" w:type="dxa"/>
            <w:vAlign w:val="bottom"/>
          </w:tcPr>
          <w:p>
            <w:pPr>
              <w:spacing w:after="0"/>
              <w:rPr>
                <w:sz w:val="1"/>
                <w:szCs w:val="1"/>
                <w:color w:val="auto"/>
              </w:rPr>
            </w:pPr>
          </w:p>
        </w:tc>
      </w:tr>
      <w:tr>
        <w:trPr>
          <w:trHeight w:val="130"/>
        </w:trPr>
        <w:tc>
          <w:tcPr>
            <w:tcW w:w="592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Australia</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162,505</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167,667</w:t>
            </w:r>
          </w:p>
        </w:tc>
        <w:tc>
          <w:tcPr>
            <w:tcW w:w="0" w:type="dxa"/>
            <w:vAlign w:val="bottom"/>
          </w:tcPr>
          <w:p>
            <w:pPr>
              <w:spacing w:after="0"/>
              <w:rPr>
                <w:sz w:val="1"/>
                <w:szCs w:val="1"/>
                <w:color w:val="auto"/>
              </w:rPr>
            </w:pPr>
          </w:p>
        </w:tc>
      </w:tr>
      <w:tr>
        <w:trPr>
          <w:trHeight w:val="130"/>
        </w:trPr>
        <w:tc>
          <w:tcPr>
            <w:tcW w:w="592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New Zealand</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23,991</w:t>
            </w:r>
          </w:p>
        </w:tc>
        <w:tc>
          <w:tcPr>
            <w:tcW w:w="22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39,060</w:t>
            </w:r>
          </w:p>
        </w:tc>
        <w:tc>
          <w:tcPr>
            <w:tcW w:w="0" w:type="dxa"/>
            <w:vAlign w:val="bottom"/>
          </w:tcPr>
          <w:p>
            <w:pPr>
              <w:spacing w:after="0"/>
              <w:rPr>
                <w:sz w:val="1"/>
                <w:szCs w:val="1"/>
                <w:color w:val="auto"/>
              </w:rPr>
            </w:pPr>
          </w:p>
        </w:tc>
      </w:tr>
      <w:tr>
        <w:trPr>
          <w:trHeight w:val="120"/>
        </w:trPr>
        <w:tc>
          <w:tcPr>
            <w:tcW w:w="5920" w:type="dxa"/>
            <w:vAlign w:val="bottom"/>
          </w:tcPr>
          <w:p>
            <w:pPr>
              <w:ind w:left="60"/>
              <w:spacing w:after="0" w:line="120"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Borders>
              <w:bottom w:val="single" w:sz="8" w:color="auto"/>
            </w:tcBorders>
          </w:tcPr>
          <w:p>
            <w:pPr>
              <w:jc w:val="right"/>
              <w:ind w:right="866"/>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435,186</w:t>
            </w:r>
          </w:p>
        </w:tc>
        <w:tc>
          <w:tcPr>
            <w:tcW w:w="220" w:type="dxa"/>
            <w:vAlign w:val="bottom"/>
          </w:tcPr>
          <w:p>
            <w:pPr>
              <w:spacing w:after="0"/>
              <w:rPr>
                <w:sz w:val="10"/>
                <w:szCs w:val="10"/>
                <w:color w:val="auto"/>
              </w:rPr>
            </w:pPr>
          </w:p>
        </w:tc>
        <w:tc>
          <w:tcPr>
            <w:tcW w:w="420" w:type="dxa"/>
            <w:vAlign w:val="bottom"/>
            <w:tcBorders>
              <w:bottom w:val="single" w:sz="8" w:color="auto"/>
            </w:tcBorders>
          </w:tcPr>
          <w:p>
            <w:pPr>
              <w:jc w:val="right"/>
              <w:ind w:right="304"/>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471,011</w:t>
            </w:r>
          </w:p>
        </w:tc>
        <w:tc>
          <w:tcPr>
            <w:tcW w:w="0" w:type="dxa"/>
            <w:vAlign w:val="bottom"/>
          </w:tcPr>
          <w:p>
            <w:pPr>
              <w:spacing w:after="0"/>
              <w:rPr>
                <w:sz w:val="1"/>
                <w:szCs w:val="1"/>
                <w:color w:val="auto"/>
              </w:rPr>
            </w:pPr>
          </w:p>
        </w:tc>
      </w:tr>
      <w:tr>
        <w:trPr>
          <w:trHeight w:val="224"/>
        </w:trPr>
        <w:tc>
          <w:tcPr>
            <w:tcW w:w="6120" w:type="dxa"/>
            <w:vAlign w:val="bottom"/>
            <w:gridSpan w:val="2"/>
          </w:tcPr>
          <w:p>
            <w:pPr>
              <w:spacing w:after="0"/>
              <w:rPr>
                <w:sz w:val="20"/>
                <w:szCs w:val="20"/>
                <w:color w:val="auto"/>
              </w:rPr>
            </w:pPr>
            <w:r>
              <w:rPr>
                <w:rFonts w:ascii="Times New Roman" w:cs="Times New Roman" w:eastAsia="Times New Roman" w:hAnsi="Times New Roman"/>
                <w:sz w:val="10"/>
                <w:szCs w:val="10"/>
                <w:color w:val="auto"/>
                <w:w w:val="98"/>
              </w:rPr>
              <w:t>(1) Corporate Assets includes cash and cash equivalents of $10.5 million and $7.0 million as of September 30, 2025 and December 31, 2024, respectively.</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92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sets forth our operating properties by country:</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3"/>
          </w:tcPr>
          <w:p>
            <w:pPr>
              <w:jc w:val="right"/>
              <w:ind w:right="23"/>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center"/>
              <w:ind w:right="7"/>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592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9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United States</w:t>
            </w:r>
          </w:p>
        </w:tc>
        <w:tc>
          <w:tcPr>
            <w:tcW w:w="2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ind w:right="866"/>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141,696</w:t>
            </w:r>
          </w:p>
        </w:tc>
        <w:tc>
          <w:tcPr>
            <w:tcW w:w="2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146,531</w:t>
            </w:r>
          </w:p>
        </w:tc>
        <w:tc>
          <w:tcPr>
            <w:tcW w:w="0" w:type="dxa"/>
            <w:vAlign w:val="bottom"/>
          </w:tcPr>
          <w:p>
            <w:pPr>
              <w:spacing w:after="0"/>
              <w:rPr>
                <w:sz w:val="1"/>
                <w:szCs w:val="1"/>
                <w:color w:val="auto"/>
              </w:rPr>
            </w:pPr>
          </w:p>
        </w:tc>
      </w:tr>
      <w:tr>
        <w:trPr>
          <w:trHeight w:val="130"/>
        </w:trPr>
        <w:tc>
          <w:tcPr>
            <w:tcW w:w="592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Australia</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59,804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59,081</w:t>
            </w:r>
          </w:p>
        </w:tc>
        <w:tc>
          <w:tcPr>
            <w:tcW w:w="0" w:type="dxa"/>
            <w:vAlign w:val="bottom"/>
          </w:tcPr>
          <w:p>
            <w:pPr>
              <w:spacing w:after="0"/>
              <w:rPr>
                <w:sz w:val="1"/>
                <w:szCs w:val="1"/>
                <w:color w:val="auto"/>
              </w:rPr>
            </w:pPr>
          </w:p>
        </w:tc>
      </w:tr>
      <w:tr>
        <w:trPr>
          <w:trHeight w:val="130"/>
        </w:trPr>
        <w:tc>
          <w:tcPr>
            <w:tcW w:w="592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New Zealand</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9,025</w:t>
            </w:r>
          </w:p>
        </w:tc>
        <w:tc>
          <w:tcPr>
            <w:tcW w:w="22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9,082</w:t>
            </w:r>
          </w:p>
        </w:tc>
        <w:tc>
          <w:tcPr>
            <w:tcW w:w="0" w:type="dxa"/>
            <w:vAlign w:val="bottom"/>
          </w:tcPr>
          <w:p>
            <w:pPr>
              <w:spacing w:after="0"/>
              <w:rPr>
                <w:sz w:val="1"/>
                <w:szCs w:val="1"/>
                <w:color w:val="auto"/>
              </w:rPr>
            </w:pPr>
          </w:p>
        </w:tc>
      </w:tr>
      <w:tr>
        <w:trPr>
          <w:trHeight w:val="120"/>
        </w:trPr>
        <w:tc>
          <w:tcPr>
            <w:tcW w:w="5920" w:type="dxa"/>
            <w:vAlign w:val="bottom"/>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Total operating property</w:t>
            </w: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Borders>
              <w:bottom w:val="single" w:sz="8" w:color="auto"/>
            </w:tcBorders>
          </w:tcPr>
          <w:p>
            <w:pPr>
              <w:jc w:val="right"/>
              <w:ind w:right="866"/>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210,525</w:t>
            </w:r>
          </w:p>
        </w:tc>
        <w:tc>
          <w:tcPr>
            <w:tcW w:w="220" w:type="dxa"/>
            <w:vAlign w:val="bottom"/>
          </w:tcPr>
          <w:p>
            <w:pPr>
              <w:spacing w:after="0"/>
              <w:rPr>
                <w:sz w:val="10"/>
                <w:szCs w:val="10"/>
                <w:color w:val="auto"/>
              </w:rPr>
            </w:pPr>
          </w:p>
        </w:tc>
        <w:tc>
          <w:tcPr>
            <w:tcW w:w="420" w:type="dxa"/>
            <w:vAlign w:val="bottom"/>
            <w:tcBorders>
              <w:bottom w:val="single" w:sz="8" w:color="auto"/>
            </w:tcBorders>
          </w:tcPr>
          <w:p>
            <w:pPr>
              <w:jc w:val="right"/>
              <w:ind w:right="304"/>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214,694</w:t>
            </w:r>
          </w:p>
        </w:tc>
        <w:tc>
          <w:tcPr>
            <w:tcW w:w="0" w:type="dxa"/>
            <w:vAlign w:val="bottom"/>
          </w:tcPr>
          <w:p>
            <w:pPr>
              <w:spacing w:after="0"/>
              <w:rPr>
                <w:sz w:val="1"/>
                <w:szCs w:val="1"/>
                <w:color w:val="auto"/>
              </w:rPr>
            </w:pPr>
          </w:p>
        </w:tc>
      </w:tr>
      <w:tr>
        <w:trPr>
          <w:trHeight w:val="268"/>
        </w:trPr>
        <w:tc>
          <w:tcPr>
            <w:tcW w:w="5920" w:type="dxa"/>
            <w:vAlign w:val="bottom"/>
          </w:tcPr>
          <w:p>
            <w:pPr>
              <w:spacing w:after="0"/>
              <w:rPr>
                <w:sz w:val="20"/>
                <w:szCs w:val="20"/>
                <w:color w:val="auto"/>
              </w:rPr>
            </w:pPr>
            <w:r>
              <w:rPr>
                <w:rFonts w:ascii="Times New Roman" w:cs="Times New Roman" w:eastAsia="Times New Roman" w:hAnsi="Times New Roman"/>
                <w:sz w:val="12"/>
                <w:szCs w:val="12"/>
                <w:color w:val="auto"/>
              </w:rPr>
              <w:t>The table below summarizes capital expenditures for the nine months ended September 30, 2025</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592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287"/>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0"/>
        </w:trPr>
        <w:tc>
          <w:tcPr>
            <w:tcW w:w="59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4"/>
          </w:tcPr>
          <w:p>
            <w:pPr>
              <w:ind w:left="80"/>
              <w:spacing w:after="0" w:line="111" w:lineRule="exact"/>
              <w:rPr>
                <w:sz w:val="20"/>
                <w:szCs w:val="20"/>
                <w:color w:val="auto"/>
              </w:rPr>
            </w:pPr>
            <w:r>
              <w:rPr>
                <w:rFonts w:ascii="Times New Roman" w:cs="Times New Roman" w:eastAsia="Times New Roman" w:hAnsi="Times New Roman"/>
                <w:sz w:val="10"/>
                <w:szCs w:val="10"/>
                <w:b w:val="1"/>
                <w:bCs w:val="1"/>
                <w:color w:val="auto"/>
              </w:rPr>
              <w:t>September 30, 2025</w:t>
            </w:r>
          </w:p>
        </w:tc>
        <w:tc>
          <w:tcPr>
            <w:tcW w:w="1200" w:type="dxa"/>
            <w:vAlign w:val="bottom"/>
            <w:gridSpan w:val="2"/>
          </w:tcPr>
          <w:p>
            <w:pPr>
              <w:jc w:val="right"/>
              <w:ind w:right="118"/>
              <w:spacing w:after="0" w:line="111" w:lineRule="exact"/>
              <w:rPr>
                <w:sz w:val="20"/>
                <w:szCs w:val="20"/>
                <w:color w:val="auto"/>
              </w:rPr>
            </w:pPr>
            <w:r>
              <w:rPr>
                <w:rFonts w:ascii="Times New Roman" w:cs="Times New Roman" w:eastAsia="Times New Roman" w:hAnsi="Times New Roman"/>
                <w:sz w:val="10"/>
                <w:szCs w:val="10"/>
                <w:b w:val="1"/>
                <w:bCs w:val="1"/>
                <w:color w:val="auto"/>
              </w:rPr>
              <w:t>September 30, 2024</w:t>
            </w:r>
          </w:p>
        </w:tc>
        <w:tc>
          <w:tcPr>
            <w:tcW w:w="0" w:type="dxa"/>
            <w:vAlign w:val="bottom"/>
          </w:tcPr>
          <w:p>
            <w:pPr>
              <w:spacing w:after="0"/>
              <w:rPr>
                <w:sz w:val="1"/>
                <w:szCs w:val="1"/>
                <w:color w:val="auto"/>
              </w:rPr>
            </w:pPr>
          </w:p>
        </w:tc>
      </w:tr>
      <w:tr>
        <w:trPr>
          <w:trHeight w:val="129"/>
        </w:trPr>
        <w:tc>
          <w:tcPr>
            <w:tcW w:w="59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Segment capital expenditures</w:t>
            </w:r>
          </w:p>
        </w:tc>
        <w:tc>
          <w:tcPr>
            <w:tcW w:w="20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gridSpan w:val="2"/>
            <w:shd w:val="clear" w:color="auto" w:fill="CCEEFF"/>
          </w:tcPr>
          <w:p>
            <w:pPr>
              <w:jc w:val="right"/>
              <w:ind w:right="4"/>
              <w:spacing w:after="0" w:line="129" w:lineRule="exact"/>
              <w:rPr>
                <w:sz w:val="20"/>
                <w:szCs w:val="20"/>
                <w:color w:val="auto"/>
              </w:rPr>
            </w:pPr>
            <w:r>
              <w:rPr>
                <w:rFonts w:ascii="Times New Roman" w:cs="Times New Roman" w:eastAsia="Times New Roman" w:hAnsi="Times New Roman"/>
                <w:sz w:val="12"/>
                <w:szCs w:val="12"/>
                <w:color w:val="auto"/>
              </w:rPr>
              <w:t>1,411</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ind w:right="56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2,028</w:t>
            </w:r>
          </w:p>
        </w:tc>
        <w:tc>
          <w:tcPr>
            <w:tcW w:w="0" w:type="dxa"/>
            <w:vAlign w:val="bottom"/>
          </w:tcPr>
          <w:p>
            <w:pPr>
              <w:spacing w:after="0"/>
              <w:rPr>
                <w:sz w:val="1"/>
                <w:szCs w:val="1"/>
                <w:color w:val="auto"/>
              </w:rPr>
            </w:pPr>
          </w:p>
        </w:tc>
      </w:tr>
      <w:tr>
        <w:trPr>
          <w:trHeight w:val="130"/>
        </w:trPr>
        <w:tc>
          <w:tcPr>
            <w:tcW w:w="592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Corporate capital expenditures</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0"/>
        </w:trPr>
        <w:tc>
          <w:tcPr>
            <w:tcW w:w="5920" w:type="dxa"/>
            <w:vAlign w:val="bottom"/>
            <w:tcBorders>
              <w:top w:val="single" w:sz="8" w:color="CCEEFF"/>
              <w:bottom w:val="single" w:sz="8" w:color="CCEEFF"/>
            </w:tcBorders>
            <w:shd w:val="clear" w:color="auto" w:fill="CCEEFF"/>
          </w:tcPr>
          <w:p>
            <w:pPr>
              <w:ind w:left="60"/>
              <w:spacing w:after="0" w:line="120" w:lineRule="exact"/>
              <w:rPr>
                <w:sz w:val="20"/>
                <w:szCs w:val="20"/>
                <w:color w:val="auto"/>
              </w:rPr>
            </w:pPr>
            <w:r>
              <w:rPr>
                <w:rFonts w:ascii="Times New Roman" w:cs="Times New Roman" w:eastAsia="Times New Roman" w:hAnsi="Times New Roman"/>
                <w:sz w:val="12"/>
                <w:szCs w:val="12"/>
                <w:b w:val="1"/>
                <w:bCs w:val="1"/>
                <w:color w:val="auto"/>
              </w:rPr>
              <w:t>Total capital expenditures</w:t>
            </w: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104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98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ind w:right="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1,411</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ind w:right="567"/>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2,028</w:t>
            </w: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NOTE 5 – OPERATIONS IN FOREIGN CURRENCY</w:t>
      </w:r>
    </w:p>
    <w:p>
      <w:pPr>
        <w:spacing w:after="0" w:line="1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We have significant assets in Australia and New Zealand. Historically, we have conducted our Australian and New Zealand operations (collectively “foreign operations”) on a self-funding basis, where we use cash flows generated by our foreign operations to pay for the expenses of those foreign operations. However, in recent periods, cash flows from our overseas operations have been used to cover our domestic general and administrative costs, interest expense, and losses from our domestic cinema operations. Our Australian and New Zealand assets and liabilities are translated from their functional currencies of Australian dollar (“AU$”) and New Zealand dollar (“NZ$”), respectively, to the U.S. dollar based on the exchange rate as of September 30, 2025. The carrying value of the assets and liabilities of our foreign operations fluctuates as a result of changes in the exchange rates between the functional currencies of the foreign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248"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color w:val="auto"/>
        </w:rPr>
        <w:t>operations and the U.S. dollar. The translation adjustments are accumulated in the Accumulated Other Comprehensive Income in the Consolidated Balance Sheets.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take a global view of our financial resources and are flexible in making use of resources from one jurisdiction in other jurisdictions.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Presented in the table below are the currency exchange rates for Australia and New Zealand: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0"/>
                <w:szCs w:val="10"/>
                <w:b w:val="1"/>
                <w:bCs w:val="1"/>
                <w:color w:val="auto"/>
              </w:rPr>
              <w:t>Foreign Currency / USD</w:t>
            </w:r>
          </w:p>
        </w:tc>
        <w:tc>
          <w:tcPr>
            <w:tcW w:w="1660" w:type="dxa"/>
            <w:vAlign w:val="bottom"/>
            <w:tcBorders>
              <w:bottom w:val="single" w:sz="8" w:color="auto"/>
            </w:tcBorders>
          </w:tcPr>
          <w:p>
            <w:pPr>
              <w:spacing w:after="0"/>
              <w:rPr>
                <w:sz w:val="11"/>
                <w:szCs w:val="11"/>
                <w:color w:val="auto"/>
              </w:rPr>
            </w:pPr>
          </w:p>
        </w:tc>
      </w:tr>
      <w:tr>
        <w:trPr>
          <w:trHeight w:val="94"/>
        </w:trPr>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840" w:type="dxa"/>
            <w:vAlign w:val="bottom"/>
          </w:tcPr>
          <w:p>
            <w:pPr>
              <w:jc w:val="center"/>
              <w:ind w:right="225"/>
              <w:spacing w:after="0" w:line="94" w:lineRule="exact"/>
              <w:rPr>
                <w:sz w:val="20"/>
                <w:szCs w:val="20"/>
                <w:color w:val="auto"/>
              </w:rPr>
            </w:pPr>
            <w:r>
              <w:rPr>
                <w:rFonts w:ascii="Times New Roman" w:cs="Times New Roman" w:eastAsia="Times New Roman" w:hAnsi="Times New Roman"/>
                <w:sz w:val="10"/>
                <w:szCs w:val="10"/>
                <w:b w:val="1"/>
                <w:bCs w:val="1"/>
                <w:color w:val="auto"/>
                <w:w w:val="98"/>
              </w:rPr>
              <w:t>As of and</w:t>
            </w:r>
          </w:p>
        </w:tc>
        <w:tc>
          <w:tcPr>
            <w:tcW w:w="2380" w:type="dxa"/>
            <w:vAlign w:val="bottom"/>
            <w:gridSpan w:val="3"/>
          </w:tcPr>
          <w:p>
            <w:pPr>
              <w:jc w:val="center"/>
              <w:ind w:right="260"/>
              <w:spacing w:after="0" w:line="94" w:lineRule="exact"/>
              <w:rPr>
                <w:sz w:val="20"/>
                <w:szCs w:val="20"/>
                <w:color w:val="auto"/>
              </w:rPr>
            </w:pPr>
            <w:r>
              <w:rPr>
                <w:rFonts w:ascii="Times New Roman" w:cs="Times New Roman" w:eastAsia="Times New Roman" w:hAnsi="Times New Roman"/>
                <w:sz w:val="10"/>
                <w:szCs w:val="10"/>
                <w:b w:val="1"/>
                <w:bCs w:val="1"/>
                <w:color w:val="auto"/>
                <w:w w:val="98"/>
              </w:rPr>
              <w:t>As of and</w:t>
            </w:r>
          </w:p>
        </w:tc>
        <w:tc>
          <w:tcPr>
            <w:tcW w:w="1660" w:type="dxa"/>
            <w:vAlign w:val="bottom"/>
          </w:tcPr>
          <w:p>
            <w:pPr>
              <w:jc w:val="center"/>
              <w:ind w:right="45"/>
              <w:spacing w:after="0" w:line="94" w:lineRule="exact"/>
              <w:rPr>
                <w:sz w:val="20"/>
                <w:szCs w:val="20"/>
                <w:color w:val="auto"/>
              </w:rPr>
            </w:pPr>
            <w:r>
              <w:rPr>
                <w:rFonts w:ascii="Times New Roman" w:cs="Times New Roman" w:eastAsia="Times New Roman" w:hAnsi="Times New Roman"/>
                <w:sz w:val="10"/>
                <w:szCs w:val="10"/>
                <w:b w:val="1"/>
                <w:bCs w:val="1"/>
                <w:color w:val="auto"/>
                <w:w w:val="98"/>
              </w:rPr>
              <w:t>As of and</w:t>
            </w:r>
          </w:p>
        </w:tc>
      </w:tr>
      <w:tr>
        <w:trPr>
          <w:trHeight w:val="102"/>
        </w:trPr>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840" w:type="dxa"/>
            <w:vAlign w:val="bottom"/>
          </w:tcPr>
          <w:p>
            <w:pPr>
              <w:jc w:val="center"/>
              <w:ind w:right="225"/>
              <w:spacing w:after="0" w:line="103" w:lineRule="exact"/>
              <w:rPr>
                <w:sz w:val="20"/>
                <w:szCs w:val="20"/>
                <w:color w:val="auto"/>
              </w:rPr>
            </w:pPr>
            <w:r>
              <w:rPr>
                <w:rFonts w:ascii="Times New Roman" w:cs="Times New Roman" w:eastAsia="Times New Roman" w:hAnsi="Times New Roman"/>
                <w:sz w:val="10"/>
                <w:szCs w:val="10"/>
                <w:b w:val="1"/>
                <w:bCs w:val="1"/>
                <w:color w:val="auto"/>
                <w:w w:val="97"/>
              </w:rPr>
              <w:t>‎for the</w:t>
            </w:r>
          </w:p>
        </w:tc>
        <w:tc>
          <w:tcPr>
            <w:tcW w:w="1040" w:type="dxa"/>
            <w:vAlign w:val="bottom"/>
          </w:tcPr>
          <w:p>
            <w:pPr>
              <w:ind w:left="920"/>
              <w:spacing w:after="0" w:line="103" w:lineRule="exact"/>
              <w:rPr>
                <w:sz w:val="20"/>
                <w:szCs w:val="20"/>
                <w:color w:val="auto"/>
              </w:rPr>
            </w:pPr>
            <w:r>
              <w:rPr>
                <w:rFonts w:ascii="Times New Roman" w:cs="Times New Roman" w:eastAsia="Times New Roman" w:hAnsi="Times New Roman"/>
                <w:sz w:val="10"/>
                <w:szCs w:val="10"/>
                <w:b w:val="1"/>
                <w:bCs w:val="1"/>
                <w:color w:val="auto"/>
                <w:w w:val="77"/>
              </w:rPr>
              <w:t>for‎</w:t>
            </w:r>
          </w:p>
        </w:tc>
        <w:tc>
          <w:tcPr>
            <w:tcW w:w="134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b w:val="1"/>
                <w:bCs w:val="1"/>
                <w:color w:val="auto"/>
              </w:rPr>
              <w:t>the</w:t>
            </w:r>
          </w:p>
        </w:tc>
        <w:tc>
          <w:tcPr>
            <w:tcW w:w="1660" w:type="dxa"/>
            <w:vAlign w:val="bottom"/>
          </w:tcPr>
          <w:p>
            <w:pPr>
              <w:jc w:val="center"/>
              <w:ind w:right="45"/>
              <w:spacing w:after="0" w:line="103" w:lineRule="exact"/>
              <w:rPr>
                <w:sz w:val="20"/>
                <w:szCs w:val="20"/>
                <w:color w:val="auto"/>
              </w:rPr>
            </w:pPr>
            <w:r>
              <w:rPr>
                <w:rFonts w:ascii="Times New Roman" w:cs="Times New Roman" w:eastAsia="Times New Roman" w:hAnsi="Times New Roman"/>
                <w:sz w:val="10"/>
                <w:szCs w:val="10"/>
                <w:b w:val="1"/>
                <w:bCs w:val="1"/>
                <w:color w:val="auto"/>
                <w:w w:val="97"/>
              </w:rPr>
              <w:t>‎for the</w:t>
            </w:r>
          </w:p>
        </w:tc>
      </w:tr>
      <w:tr>
        <w:trPr>
          <w:trHeight w:val="112"/>
        </w:trPr>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840" w:type="dxa"/>
            <w:vAlign w:val="bottom"/>
          </w:tcPr>
          <w:p>
            <w:pPr>
              <w:jc w:val="center"/>
              <w:ind w:right="205"/>
              <w:spacing w:after="0" w:line="112" w:lineRule="exact"/>
              <w:rPr>
                <w:sz w:val="20"/>
                <w:szCs w:val="20"/>
                <w:color w:val="auto"/>
              </w:rPr>
            </w:pPr>
            <w:r>
              <w:rPr>
                <w:rFonts w:ascii="Times New Roman" w:cs="Times New Roman" w:eastAsia="Times New Roman" w:hAnsi="Times New Roman"/>
                <w:sz w:val="10"/>
                <w:szCs w:val="10"/>
                <w:b w:val="1"/>
                <w:bCs w:val="1"/>
                <w:color w:val="auto"/>
              </w:rPr>
              <w:t>‎quarter</w:t>
            </w:r>
          </w:p>
        </w:tc>
        <w:tc>
          <w:tcPr>
            <w:tcW w:w="1040" w:type="dxa"/>
            <w:vAlign w:val="bottom"/>
          </w:tcPr>
          <w:p>
            <w:pPr>
              <w:ind w:left="740"/>
              <w:spacing w:after="0" w:line="112" w:lineRule="exact"/>
              <w:rPr>
                <w:sz w:val="20"/>
                <w:szCs w:val="20"/>
                <w:color w:val="auto"/>
              </w:rPr>
            </w:pPr>
            <w:r>
              <w:rPr>
                <w:rFonts w:ascii="Times New Roman" w:cs="Times New Roman" w:eastAsia="Times New Roman" w:hAnsi="Times New Roman"/>
                <w:sz w:val="10"/>
                <w:szCs w:val="10"/>
                <w:b w:val="1"/>
                <w:bCs w:val="1"/>
                <w:color w:val="auto"/>
              </w:rPr>
              <w:t>twelve‎</w:t>
            </w:r>
          </w:p>
        </w:tc>
        <w:tc>
          <w:tcPr>
            <w:tcW w:w="134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months</w:t>
            </w:r>
          </w:p>
        </w:tc>
        <w:tc>
          <w:tcPr>
            <w:tcW w:w="1660" w:type="dxa"/>
            <w:vAlign w:val="bottom"/>
          </w:tcPr>
          <w:p>
            <w:pPr>
              <w:jc w:val="center"/>
              <w:ind w:right="45"/>
              <w:spacing w:after="0" w:line="112" w:lineRule="exact"/>
              <w:rPr>
                <w:sz w:val="20"/>
                <w:szCs w:val="20"/>
                <w:color w:val="auto"/>
              </w:rPr>
            </w:pPr>
            <w:r>
              <w:rPr>
                <w:rFonts w:ascii="Times New Roman" w:cs="Times New Roman" w:eastAsia="Times New Roman" w:hAnsi="Times New Roman"/>
                <w:sz w:val="10"/>
                <w:szCs w:val="10"/>
                <w:b w:val="1"/>
                <w:bCs w:val="1"/>
                <w:color w:val="auto"/>
                <w:w w:val="97"/>
              </w:rPr>
              <w:t>‎quarter</w:t>
            </w:r>
          </w:p>
        </w:tc>
      </w:tr>
      <w:tr>
        <w:trPr>
          <w:trHeight w:val="102"/>
        </w:trPr>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840" w:type="dxa"/>
            <w:vAlign w:val="bottom"/>
          </w:tcPr>
          <w:p>
            <w:pPr>
              <w:jc w:val="center"/>
              <w:ind w:right="205"/>
              <w:spacing w:after="0" w:line="103" w:lineRule="exact"/>
              <w:rPr>
                <w:sz w:val="20"/>
                <w:szCs w:val="20"/>
                <w:color w:val="auto"/>
              </w:rPr>
            </w:pPr>
            <w:r>
              <w:rPr>
                <w:rFonts w:ascii="Times New Roman" w:cs="Times New Roman" w:eastAsia="Times New Roman" w:hAnsi="Times New Roman"/>
                <w:sz w:val="10"/>
                <w:szCs w:val="10"/>
                <w:b w:val="1"/>
                <w:bCs w:val="1"/>
                <w:color w:val="auto"/>
              </w:rPr>
              <w:t>ended‎</w:t>
            </w:r>
          </w:p>
        </w:tc>
        <w:tc>
          <w:tcPr>
            <w:tcW w:w="2380" w:type="dxa"/>
            <w:vAlign w:val="bottom"/>
            <w:gridSpan w:val="3"/>
          </w:tcPr>
          <w:p>
            <w:pPr>
              <w:jc w:val="center"/>
              <w:ind w:right="280"/>
              <w:spacing w:after="0" w:line="103" w:lineRule="exact"/>
              <w:rPr>
                <w:sz w:val="20"/>
                <w:szCs w:val="20"/>
                <w:color w:val="auto"/>
              </w:rPr>
            </w:pPr>
            <w:r>
              <w:rPr>
                <w:rFonts w:ascii="Times New Roman" w:cs="Times New Roman" w:eastAsia="Times New Roman" w:hAnsi="Times New Roman"/>
                <w:sz w:val="10"/>
                <w:szCs w:val="10"/>
                <w:b w:val="1"/>
                <w:bCs w:val="1"/>
                <w:color w:val="auto"/>
              </w:rPr>
              <w:t>ended‎</w:t>
            </w:r>
          </w:p>
        </w:tc>
        <w:tc>
          <w:tcPr>
            <w:tcW w:w="1660" w:type="dxa"/>
            <w:vAlign w:val="bottom"/>
          </w:tcPr>
          <w:p>
            <w:pPr>
              <w:jc w:val="center"/>
              <w:ind w:right="65"/>
              <w:spacing w:after="0" w:line="103" w:lineRule="exact"/>
              <w:rPr>
                <w:sz w:val="20"/>
                <w:szCs w:val="20"/>
                <w:color w:val="auto"/>
              </w:rPr>
            </w:pPr>
            <w:r>
              <w:rPr>
                <w:rFonts w:ascii="Times New Roman" w:cs="Times New Roman" w:eastAsia="Times New Roman" w:hAnsi="Times New Roman"/>
                <w:sz w:val="10"/>
                <w:szCs w:val="10"/>
                <w:b w:val="1"/>
                <w:bCs w:val="1"/>
                <w:color w:val="auto"/>
              </w:rPr>
              <w:t>ended‎</w:t>
            </w:r>
          </w:p>
        </w:tc>
      </w:tr>
      <w:tr>
        <w:trPr>
          <w:trHeight w:val="128"/>
        </w:trPr>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840" w:type="dxa"/>
            <w:vAlign w:val="bottom"/>
          </w:tcPr>
          <w:p>
            <w:pPr>
              <w:jc w:val="center"/>
              <w:ind w:right="85"/>
              <w:spacing w:after="0"/>
              <w:rPr>
                <w:sz w:val="20"/>
                <w:szCs w:val="20"/>
                <w:color w:val="auto"/>
              </w:rPr>
            </w:pPr>
            <w:r>
              <w:rPr>
                <w:rFonts w:ascii="Times New Roman" w:cs="Times New Roman" w:eastAsia="Times New Roman" w:hAnsi="Times New Roman"/>
                <w:sz w:val="10"/>
                <w:szCs w:val="10"/>
                <w:b w:val="1"/>
                <w:bCs w:val="1"/>
                <w:color w:val="auto"/>
                <w:w w:val="98"/>
              </w:rPr>
              <w:t>September 30, 2025</w:t>
            </w:r>
          </w:p>
        </w:tc>
        <w:tc>
          <w:tcPr>
            <w:tcW w:w="2380" w:type="dxa"/>
            <w:vAlign w:val="bottom"/>
            <w:gridSpan w:val="3"/>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December 31, 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September 30, 2024</w:t>
            </w:r>
          </w:p>
        </w:tc>
      </w:tr>
      <w:tr>
        <w:trPr>
          <w:trHeight w:val="110"/>
        </w:trPr>
        <w:tc>
          <w:tcPr>
            <w:tcW w:w="520" w:type="dxa"/>
            <w:vAlign w:val="bottom"/>
            <w:tcBorders>
              <w:top w:val="single" w:sz="8" w:color="CCEEFF"/>
              <w:bottom w:val="single" w:sz="8" w:color="auto"/>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b w:val="1"/>
                <w:bCs w:val="1"/>
                <w:color w:val="auto"/>
                <w:w w:val="99"/>
              </w:rPr>
              <w:t>Spot Rate</w:t>
            </w:r>
          </w:p>
        </w:tc>
        <w:tc>
          <w:tcPr>
            <w:tcW w:w="4900" w:type="dxa"/>
            <w:vAlign w:val="bottom"/>
            <w:tcBorders>
              <w:top w:val="single" w:sz="8" w:color="CCEEFF"/>
              <w:bottom w:val="single" w:sz="8" w:color="CCEEFF"/>
            </w:tcBorders>
            <w:gridSpan w:val="2"/>
            <w:shd w:val="clear" w:color="auto" w:fill="CCEEFF"/>
          </w:tcPr>
          <w:p>
            <w:pPr>
              <w:spacing w:after="0"/>
              <w:rPr>
                <w:sz w:val="9"/>
                <w:szCs w:val="9"/>
                <w:color w:val="auto"/>
              </w:rPr>
            </w:pPr>
          </w:p>
        </w:tc>
        <w:tc>
          <w:tcPr>
            <w:tcW w:w="1840" w:type="dxa"/>
            <w:vAlign w:val="bottom"/>
            <w:tcBorders>
              <w:top w:val="single" w:sz="8" w:color="auto"/>
              <w:bottom w:val="single" w:sz="8" w:color="CCEEFF"/>
            </w:tcBorders>
            <w:shd w:val="clear" w:color="auto" w:fill="CCEEFF"/>
          </w:tcPr>
          <w:p>
            <w:pPr>
              <w:spacing w:after="0"/>
              <w:rPr>
                <w:sz w:val="9"/>
                <w:szCs w:val="9"/>
                <w:color w:val="auto"/>
              </w:rPr>
            </w:pPr>
          </w:p>
        </w:tc>
        <w:tc>
          <w:tcPr>
            <w:tcW w:w="1040" w:type="dxa"/>
            <w:vAlign w:val="bottom"/>
            <w:tcBorders>
              <w:top w:val="single" w:sz="8" w:color="auto"/>
              <w:bottom w:val="single" w:sz="8" w:color="CCEEFF"/>
            </w:tcBorders>
            <w:shd w:val="clear" w:color="auto" w:fill="CCEEFF"/>
          </w:tcPr>
          <w:p>
            <w:pPr>
              <w:spacing w:after="0"/>
              <w:rPr>
                <w:sz w:val="9"/>
                <w:szCs w:val="9"/>
                <w:color w:val="auto"/>
              </w:rPr>
            </w:pPr>
          </w:p>
        </w:tc>
        <w:tc>
          <w:tcPr>
            <w:tcW w:w="122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660" w:type="dxa"/>
            <w:vAlign w:val="bottom"/>
            <w:tcBorders>
              <w:top w:val="single" w:sz="8" w:color="auto"/>
              <w:bottom w:val="single" w:sz="8" w:color="CCEEFF"/>
            </w:tcBorders>
            <w:shd w:val="clear" w:color="auto" w:fill="CCEEFF"/>
          </w:tcPr>
          <w:p>
            <w:pPr>
              <w:spacing w:after="0"/>
              <w:rPr>
                <w:sz w:val="9"/>
                <w:szCs w:val="9"/>
                <w:color w:val="auto"/>
              </w:rPr>
            </w:pPr>
          </w:p>
        </w:tc>
      </w:tr>
      <w:tr>
        <w:trPr>
          <w:trHeight w:val="129"/>
        </w:trPr>
        <w:tc>
          <w:tcPr>
            <w:tcW w:w="5420" w:type="dxa"/>
            <w:vAlign w:val="bottom"/>
            <w:gridSpan w:val="3"/>
          </w:tcPr>
          <w:p>
            <w:pPr>
              <w:spacing w:after="0" w:line="129" w:lineRule="exact"/>
              <w:rPr>
                <w:sz w:val="20"/>
                <w:szCs w:val="20"/>
                <w:color w:val="auto"/>
              </w:rPr>
            </w:pPr>
            <w:r>
              <w:rPr>
                <w:rFonts w:ascii="Times New Roman" w:cs="Times New Roman" w:eastAsia="Times New Roman" w:hAnsi="Times New Roman"/>
                <w:sz w:val="12"/>
                <w:szCs w:val="12"/>
                <w:color w:val="auto"/>
              </w:rPr>
              <w:t>Australian Dollar</w:t>
            </w:r>
          </w:p>
        </w:tc>
        <w:tc>
          <w:tcPr>
            <w:tcW w:w="1840" w:type="dxa"/>
            <w:vAlign w:val="bottom"/>
          </w:tcPr>
          <w:p>
            <w:pPr>
              <w:jc w:val="center"/>
              <w:ind w:right="85"/>
              <w:spacing w:after="0" w:line="129" w:lineRule="exact"/>
              <w:rPr>
                <w:sz w:val="20"/>
                <w:szCs w:val="20"/>
                <w:color w:val="auto"/>
              </w:rPr>
            </w:pPr>
            <w:r>
              <w:rPr>
                <w:rFonts w:ascii="Times New Roman" w:cs="Times New Roman" w:eastAsia="Times New Roman" w:hAnsi="Times New Roman"/>
                <w:sz w:val="12"/>
                <w:szCs w:val="12"/>
                <w:color w:val="auto"/>
              </w:rPr>
              <w:t>0.6614</w:t>
            </w:r>
          </w:p>
        </w:tc>
        <w:tc>
          <w:tcPr>
            <w:tcW w:w="2260" w:type="dxa"/>
            <w:vAlign w:val="bottom"/>
            <w:gridSpan w:val="2"/>
          </w:tcPr>
          <w:p>
            <w:pPr>
              <w:jc w:val="center"/>
              <w:ind w:right="110"/>
              <w:spacing w:after="0" w:line="129" w:lineRule="exact"/>
              <w:rPr>
                <w:sz w:val="20"/>
                <w:szCs w:val="20"/>
                <w:color w:val="auto"/>
              </w:rPr>
            </w:pPr>
            <w:r>
              <w:rPr>
                <w:rFonts w:ascii="Times New Roman" w:cs="Times New Roman" w:eastAsia="Times New Roman" w:hAnsi="Times New Roman"/>
                <w:sz w:val="12"/>
                <w:szCs w:val="12"/>
                <w:color w:val="auto"/>
              </w:rPr>
              <w:t>0.6185</w:t>
            </w:r>
          </w:p>
        </w:tc>
        <w:tc>
          <w:tcPr>
            <w:tcW w:w="120" w:type="dxa"/>
            <w:vAlign w:val="bottom"/>
          </w:tcPr>
          <w:p>
            <w:pPr>
              <w:spacing w:after="0"/>
              <w:rPr>
                <w:sz w:val="11"/>
                <w:szCs w:val="11"/>
                <w:color w:val="auto"/>
              </w:rPr>
            </w:pPr>
          </w:p>
        </w:tc>
        <w:tc>
          <w:tcPr>
            <w:tcW w:w="166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rPr>
              <w:t>0.6934</w:t>
            </w:r>
          </w:p>
        </w:tc>
      </w:tr>
      <w:tr>
        <w:trPr>
          <w:trHeight w:val="130"/>
        </w:trPr>
        <w:tc>
          <w:tcPr>
            <w:tcW w:w="5420" w:type="dxa"/>
            <w:vAlign w:val="bottom"/>
            <w:gridSpan w:val="3"/>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New Zealand Dollar</w:t>
            </w:r>
          </w:p>
        </w:tc>
        <w:tc>
          <w:tcPr>
            <w:tcW w:w="1840" w:type="dxa"/>
            <w:vAlign w:val="bottom"/>
            <w:shd w:val="clear" w:color="auto" w:fill="CCEEFF"/>
          </w:tcPr>
          <w:p>
            <w:pPr>
              <w:jc w:val="center"/>
              <w:ind w:right="85"/>
              <w:spacing w:after="0" w:line="130" w:lineRule="exact"/>
              <w:rPr>
                <w:sz w:val="20"/>
                <w:szCs w:val="20"/>
                <w:color w:val="auto"/>
              </w:rPr>
            </w:pPr>
            <w:r>
              <w:rPr>
                <w:rFonts w:ascii="Times New Roman" w:cs="Times New Roman" w:eastAsia="Times New Roman" w:hAnsi="Times New Roman"/>
                <w:sz w:val="12"/>
                <w:szCs w:val="12"/>
                <w:color w:val="auto"/>
              </w:rPr>
              <w:t>0.5799</w:t>
            </w:r>
          </w:p>
        </w:tc>
        <w:tc>
          <w:tcPr>
            <w:tcW w:w="2260" w:type="dxa"/>
            <w:vAlign w:val="bottom"/>
            <w:gridSpan w:val="2"/>
            <w:shd w:val="clear" w:color="auto" w:fill="CCEEFF"/>
          </w:tcPr>
          <w:p>
            <w:pPr>
              <w:jc w:val="center"/>
              <w:ind w:right="110"/>
              <w:spacing w:after="0" w:line="130" w:lineRule="exact"/>
              <w:rPr>
                <w:sz w:val="20"/>
                <w:szCs w:val="20"/>
                <w:color w:val="auto"/>
              </w:rPr>
            </w:pPr>
            <w:r>
              <w:rPr>
                <w:rFonts w:ascii="Times New Roman" w:cs="Times New Roman" w:eastAsia="Times New Roman" w:hAnsi="Times New Roman"/>
                <w:sz w:val="12"/>
                <w:szCs w:val="12"/>
                <w:color w:val="auto"/>
              </w:rPr>
              <w:t>0.5596</w:t>
            </w:r>
          </w:p>
        </w:tc>
        <w:tc>
          <w:tcPr>
            <w:tcW w:w="120" w:type="dxa"/>
            <w:vAlign w:val="bottom"/>
            <w:shd w:val="clear" w:color="auto" w:fill="CCEEFF"/>
          </w:tcPr>
          <w:p>
            <w:pPr>
              <w:spacing w:after="0"/>
              <w:rPr>
                <w:sz w:val="11"/>
                <w:szCs w:val="11"/>
                <w:color w:val="auto"/>
              </w:rPr>
            </w:pPr>
          </w:p>
        </w:tc>
        <w:tc>
          <w:tcPr>
            <w:tcW w:w="1660" w:type="dxa"/>
            <w:vAlign w:val="bottom"/>
            <w:shd w:val="clear" w:color="auto" w:fill="CCEEFF"/>
          </w:tcPr>
          <w:p>
            <w:pPr>
              <w:jc w:val="center"/>
              <w:spacing w:after="0" w:line="130" w:lineRule="exact"/>
              <w:rPr>
                <w:sz w:val="20"/>
                <w:szCs w:val="20"/>
                <w:color w:val="auto"/>
              </w:rPr>
            </w:pPr>
            <w:r>
              <w:rPr>
                <w:rFonts w:ascii="Times New Roman" w:cs="Times New Roman" w:eastAsia="Times New Roman" w:hAnsi="Times New Roman"/>
                <w:sz w:val="12"/>
                <w:szCs w:val="12"/>
                <w:color w:val="auto"/>
              </w:rPr>
              <w:t>0.6363</w:t>
            </w:r>
          </w:p>
        </w:tc>
      </w:tr>
      <w:tr>
        <w:trPr>
          <w:trHeight w:val="112"/>
        </w:trPr>
        <w:tc>
          <w:tcPr>
            <w:tcW w:w="5420" w:type="dxa"/>
            <w:vAlign w:val="bottom"/>
            <w:gridSpan w:val="3"/>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Average Rate</w:t>
            </w:r>
          </w:p>
        </w:tc>
        <w:tc>
          <w:tcPr>
            <w:tcW w:w="18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29"/>
        </w:trPr>
        <w:tc>
          <w:tcPr>
            <w:tcW w:w="542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Australian Dollar</w:t>
            </w:r>
          </w:p>
        </w:tc>
        <w:tc>
          <w:tcPr>
            <w:tcW w:w="1840" w:type="dxa"/>
            <w:vAlign w:val="bottom"/>
            <w:shd w:val="clear" w:color="auto" w:fill="CCEEFF"/>
          </w:tcPr>
          <w:p>
            <w:pPr>
              <w:jc w:val="center"/>
              <w:ind w:right="205"/>
              <w:spacing w:after="0" w:line="129" w:lineRule="exact"/>
              <w:rPr>
                <w:sz w:val="20"/>
                <w:szCs w:val="20"/>
                <w:color w:val="auto"/>
              </w:rPr>
            </w:pPr>
            <w:r>
              <w:rPr>
                <w:rFonts w:ascii="Times New Roman" w:cs="Times New Roman" w:eastAsia="Times New Roman" w:hAnsi="Times New Roman"/>
                <w:sz w:val="12"/>
                <w:szCs w:val="12"/>
                <w:color w:val="auto"/>
              </w:rPr>
              <w:t>0.6543</w:t>
            </w:r>
          </w:p>
        </w:tc>
        <w:tc>
          <w:tcPr>
            <w:tcW w:w="2260" w:type="dxa"/>
            <w:vAlign w:val="bottom"/>
            <w:gridSpan w:val="2"/>
            <w:shd w:val="clear" w:color="auto" w:fill="CCEEFF"/>
          </w:tcPr>
          <w:p>
            <w:pPr>
              <w:jc w:val="center"/>
              <w:ind w:right="110"/>
              <w:spacing w:after="0" w:line="129" w:lineRule="exact"/>
              <w:rPr>
                <w:sz w:val="20"/>
                <w:szCs w:val="20"/>
                <w:color w:val="auto"/>
              </w:rPr>
            </w:pPr>
            <w:r>
              <w:rPr>
                <w:rFonts w:ascii="Times New Roman" w:cs="Times New Roman" w:eastAsia="Times New Roman" w:hAnsi="Times New Roman"/>
                <w:sz w:val="12"/>
                <w:szCs w:val="12"/>
                <w:color w:val="auto"/>
              </w:rPr>
              <w:t>0.6596</w:t>
            </w:r>
          </w:p>
        </w:tc>
        <w:tc>
          <w:tcPr>
            <w:tcW w:w="120" w:type="dxa"/>
            <w:vAlign w:val="bottom"/>
            <w:shd w:val="clear" w:color="auto" w:fill="CCEEFF"/>
          </w:tcPr>
          <w:p>
            <w:pPr>
              <w:spacing w:after="0"/>
              <w:rPr>
                <w:sz w:val="11"/>
                <w:szCs w:val="11"/>
                <w:color w:val="auto"/>
              </w:rPr>
            </w:pPr>
          </w:p>
        </w:tc>
        <w:tc>
          <w:tcPr>
            <w:tcW w:w="1660" w:type="dxa"/>
            <w:vAlign w:val="bottom"/>
            <w:shd w:val="clear" w:color="auto" w:fill="CCEEFF"/>
          </w:tcPr>
          <w:p>
            <w:pPr>
              <w:jc w:val="center"/>
              <w:ind w:right="65"/>
              <w:spacing w:after="0" w:line="129" w:lineRule="exact"/>
              <w:rPr>
                <w:sz w:val="20"/>
                <w:szCs w:val="20"/>
                <w:color w:val="auto"/>
              </w:rPr>
            </w:pPr>
            <w:r>
              <w:rPr>
                <w:rFonts w:ascii="Times New Roman" w:cs="Times New Roman" w:eastAsia="Times New Roman" w:hAnsi="Times New Roman"/>
                <w:sz w:val="12"/>
                <w:szCs w:val="12"/>
                <w:color w:val="auto"/>
              </w:rPr>
              <w:t>0.6700</w:t>
            </w:r>
          </w:p>
        </w:tc>
      </w:tr>
      <w:tr>
        <w:trPr>
          <w:trHeight w:val="161"/>
        </w:trPr>
        <w:tc>
          <w:tcPr>
            <w:tcW w:w="54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New Zealand Dollar</w:t>
            </w:r>
          </w:p>
        </w:tc>
        <w:tc>
          <w:tcPr>
            <w:tcW w:w="1840" w:type="dxa"/>
            <w:vAlign w:val="bottom"/>
          </w:tcPr>
          <w:p>
            <w:pPr>
              <w:jc w:val="center"/>
              <w:ind w:right="205"/>
              <w:spacing w:after="0"/>
              <w:rPr>
                <w:sz w:val="20"/>
                <w:szCs w:val="20"/>
                <w:color w:val="auto"/>
              </w:rPr>
            </w:pPr>
            <w:r>
              <w:rPr>
                <w:rFonts w:ascii="Times New Roman" w:cs="Times New Roman" w:eastAsia="Times New Roman" w:hAnsi="Times New Roman"/>
                <w:sz w:val="12"/>
                <w:szCs w:val="12"/>
                <w:color w:val="auto"/>
              </w:rPr>
              <w:t>0.5926</w:t>
            </w:r>
          </w:p>
        </w:tc>
        <w:tc>
          <w:tcPr>
            <w:tcW w:w="2260" w:type="dxa"/>
            <w:vAlign w:val="bottom"/>
            <w:gridSpan w:val="2"/>
          </w:tcPr>
          <w:p>
            <w:pPr>
              <w:jc w:val="center"/>
              <w:ind w:right="110"/>
              <w:spacing w:after="0"/>
              <w:rPr>
                <w:sz w:val="20"/>
                <w:szCs w:val="20"/>
                <w:color w:val="auto"/>
              </w:rPr>
            </w:pPr>
            <w:r>
              <w:rPr>
                <w:rFonts w:ascii="Times New Roman" w:cs="Times New Roman" w:eastAsia="Times New Roman" w:hAnsi="Times New Roman"/>
                <w:sz w:val="12"/>
                <w:szCs w:val="12"/>
                <w:color w:val="auto"/>
              </w:rPr>
              <w:t>0.6051</w:t>
            </w:r>
          </w:p>
        </w:tc>
        <w:tc>
          <w:tcPr>
            <w:tcW w:w="120" w:type="dxa"/>
            <w:vAlign w:val="bottom"/>
          </w:tcPr>
          <w:p>
            <w:pPr>
              <w:spacing w:after="0"/>
              <w:rPr>
                <w:sz w:val="13"/>
                <w:szCs w:val="13"/>
                <w:color w:val="auto"/>
              </w:rPr>
            </w:pPr>
          </w:p>
        </w:tc>
        <w:tc>
          <w:tcPr>
            <w:tcW w:w="1660" w:type="dxa"/>
            <w:vAlign w:val="bottom"/>
          </w:tcPr>
          <w:p>
            <w:pPr>
              <w:jc w:val="center"/>
              <w:ind w:right="65"/>
              <w:spacing w:after="0"/>
              <w:rPr>
                <w:sz w:val="20"/>
                <w:szCs w:val="20"/>
                <w:color w:val="auto"/>
              </w:rPr>
            </w:pPr>
            <w:r>
              <w:rPr>
                <w:rFonts w:ascii="Times New Roman" w:cs="Times New Roman" w:eastAsia="Times New Roman" w:hAnsi="Times New Roman"/>
                <w:sz w:val="12"/>
                <w:szCs w:val="12"/>
                <w:color w:val="auto"/>
              </w:rPr>
              <w:t>0.6117</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NOTE 6 – EARNINGS PER SHARE</w:t>
      </w:r>
    </w:p>
    <w:p>
      <w:pPr>
        <w:spacing w:after="0" w:line="1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Basic earnings per share (“EPS”) is calculated by dividing the net income attributable to our Company by the weighted average number of common shares outstanding during the period. Diluted EPS is calculated by dividing the net income attributable to our Company by the weighted average number of common and common equivalent shares outstanding during the period and is calculated using the treasury stock method for equity-based compensation awards.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sets forth the computation of basic and diluted EPS and a reconciliation of the weighted average number of common and common equivalent shares outstanding: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80" w:type="dxa"/>
            <w:vAlign w:val="bottom"/>
            <w:gridSpan w:val="4"/>
          </w:tcPr>
          <w:p>
            <w:pPr>
              <w:jc w:val="right"/>
              <w:ind w:right="143"/>
              <w:spacing w:after="0"/>
              <w:rPr>
                <w:sz w:val="20"/>
                <w:szCs w:val="20"/>
                <w:color w:val="auto"/>
              </w:rPr>
            </w:pPr>
            <w:r>
              <w:rPr>
                <w:rFonts w:ascii="Times New Roman" w:cs="Times New Roman" w:eastAsia="Times New Roman" w:hAnsi="Times New Roman"/>
                <w:sz w:val="10"/>
                <w:szCs w:val="10"/>
                <w:b w:val="1"/>
                <w:bCs w:val="1"/>
                <w:color w:val="auto"/>
              </w:rPr>
              <w:t>Quarter Ended</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gridSpan w:val="4"/>
          </w:tcPr>
          <w:p>
            <w:pPr>
              <w:jc w:val="right"/>
              <w:ind w:right="78"/>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96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thousands, except share data)</w:t>
            </w:r>
          </w:p>
        </w:tc>
        <w:tc>
          <w:tcPr>
            <w:tcW w:w="2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4"/>
          </w:tcPr>
          <w:p>
            <w:pPr>
              <w:jc w:val="right"/>
              <w:ind w:right="163"/>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9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4"/>
          </w:tcPr>
          <w:p>
            <w:pPr>
              <w:jc w:val="right"/>
              <w:ind w:right="198"/>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4960" w:type="dxa"/>
            <w:vAlign w:val="bottom"/>
            <w:tcBorders>
              <w:bottom w:val="single" w:sz="8" w:color="auto"/>
            </w:tcBorders>
            <w:vMerge w:val="continue"/>
          </w:tcPr>
          <w:p>
            <w:pPr>
              <w:spacing w:after="0"/>
              <w:rPr>
                <w:sz w:val="9"/>
                <w:szCs w:val="9"/>
                <w:color w:val="auto"/>
              </w:rPr>
            </w:pPr>
          </w:p>
        </w:tc>
        <w:tc>
          <w:tcPr>
            <w:tcW w:w="26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522"/>
              <w:spacing w:after="0" w:line="111"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519"/>
              <w:spacing w:after="0" w:line="111" w:lineRule="exact"/>
              <w:rPr>
                <w:sz w:val="20"/>
                <w:szCs w:val="20"/>
                <w:color w:val="auto"/>
              </w:rPr>
            </w:pPr>
            <w:r>
              <w:rPr>
                <w:rFonts w:ascii="Times New Roman" w:cs="Times New Roman" w:eastAsia="Times New Roman" w:hAnsi="Times New Roman"/>
                <w:sz w:val="10"/>
                <w:szCs w:val="10"/>
                <w:b w:val="1"/>
                <w:bCs w:val="1"/>
                <w:color w:val="auto"/>
              </w:rPr>
              <w:t>2024</w:t>
            </w: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ind w:right="502"/>
              <w:spacing w:after="0" w:line="111"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479"/>
              <w:spacing w:after="0" w:line="111" w:lineRule="exact"/>
              <w:rPr>
                <w:sz w:val="20"/>
                <w:szCs w:val="20"/>
                <w:color w:val="auto"/>
              </w:rPr>
            </w:pPr>
            <w:r>
              <w:rPr>
                <w:rFonts w:ascii="Times New Roman" w:cs="Times New Roman" w:eastAsia="Times New Roman" w:hAnsi="Times New Roman"/>
                <w:sz w:val="10"/>
                <w:szCs w:val="10"/>
                <w:b w:val="1"/>
                <w:bCs w:val="1"/>
                <w:color w:val="auto"/>
              </w:rPr>
              <w:t>2024</w:t>
            </w:r>
          </w:p>
        </w:tc>
        <w:tc>
          <w:tcPr>
            <w:tcW w:w="0" w:type="dxa"/>
            <w:vAlign w:val="bottom"/>
          </w:tcPr>
          <w:p>
            <w:pPr>
              <w:spacing w:after="0"/>
              <w:rPr>
                <w:sz w:val="1"/>
                <w:szCs w:val="1"/>
                <w:color w:val="auto"/>
              </w:rPr>
            </w:pPr>
          </w:p>
        </w:tc>
      </w:tr>
      <w:tr>
        <w:trPr>
          <w:trHeight w:val="129"/>
        </w:trPr>
        <w:tc>
          <w:tcPr>
            <w:tcW w:w="49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Numerator:</w:t>
            </w: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96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Net income (loss) attributable to Reading International, Inc.</w:t>
            </w:r>
          </w:p>
        </w:tc>
        <w:tc>
          <w:tcPr>
            <w:tcW w:w="580" w:type="dxa"/>
            <w:vAlign w:val="bottom"/>
            <w:gridSpan w:val="2"/>
          </w:tcPr>
          <w:p>
            <w:pPr>
              <w:jc w:val="right"/>
              <w:ind w:right="178"/>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(4,157)</w:t>
            </w:r>
          </w:p>
        </w:tc>
        <w:tc>
          <w:tcPr>
            <w:tcW w:w="120" w:type="dxa"/>
            <w:vAlign w:val="bottom"/>
          </w:tcPr>
          <w:p>
            <w:pPr>
              <w:spacing w:after="0"/>
              <w:rPr>
                <w:sz w:val="11"/>
                <w:szCs w:val="11"/>
                <w:color w:val="auto"/>
              </w:rPr>
            </w:pPr>
          </w:p>
        </w:tc>
        <w:tc>
          <w:tcPr>
            <w:tcW w:w="520" w:type="dxa"/>
            <w:vAlign w:val="bottom"/>
            <w:gridSpan w:val="2"/>
          </w:tcPr>
          <w:p>
            <w:pPr>
              <w:jc w:val="right"/>
              <w:ind w:right="263"/>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120"/>
              <w:spacing w:after="0" w:line="130" w:lineRule="exact"/>
              <w:rPr>
                <w:sz w:val="20"/>
                <w:szCs w:val="20"/>
                <w:color w:val="auto"/>
              </w:rPr>
            </w:pPr>
            <w:r>
              <w:rPr>
                <w:rFonts w:ascii="Times New Roman" w:cs="Times New Roman" w:eastAsia="Times New Roman" w:hAnsi="Times New Roman"/>
                <w:sz w:val="12"/>
                <w:szCs w:val="12"/>
                <w:color w:val="auto"/>
              </w:rPr>
              <w:t>(7,028)</w:t>
            </w:r>
          </w:p>
        </w:tc>
        <w:tc>
          <w:tcPr>
            <w:tcW w:w="440" w:type="dxa"/>
            <w:vAlign w:val="bottom"/>
            <w:gridSpan w:val="2"/>
          </w:tcPr>
          <w:p>
            <w:pPr>
              <w:jc w:val="right"/>
              <w:ind w:right="183"/>
              <w:spacing w:after="0" w:line="130" w:lineRule="exact"/>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tcPr>
          <w:p>
            <w:pPr>
              <w:jc w:val="right"/>
              <w:ind w:right="120"/>
              <w:spacing w:after="0" w:line="130" w:lineRule="exact"/>
              <w:rPr>
                <w:sz w:val="20"/>
                <w:szCs w:val="20"/>
                <w:color w:val="auto"/>
              </w:rPr>
            </w:pPr>
            <w:r>
              <w:rPr>
                <w:rFonts w:ascii="Times New Roman" w:cs="Times New Roman" w:eastAsia="Times New Roman" w:hAnsi="Times New Roman"/>
                <w:sz w:val="12"/>
                <w:szCs w:val="12"/>
                <w:color w:val="auto"/>
              </w:rPr>
              <w:t>(11,580)</w:t>
            </w:r>
          </w:p>
        </w:tc>
        <w:tc>
          <w:tcPr>
            <w:tcW w:w="540" w:type="dxa"/>
            <w:vAlign w:val="bottom"/>
            <w:gridSpan w:val="2"/>
          </w:tcPr>
          <w:p>
            <w:pPr>
              <w:jc w:val="right"/>
              <w:ind w:right="278"/>
              <w:spacing w:after="0" w:line="130"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(33,062)</w:t>
            </w:r>
          </w:p>
        </w:tc>
        <w:tc>
          <w:tcPr>
            <w:tcW w:w="0" w:type="dxa"/>
            <w:vAlign w:val="bottom"/>
          </w:tcPr>
          <w:p>
            <w:pPr>
              <w:spacing w:after="0"/>
              <w:rPr>
                <w:sz w:val="1"/>
                <w:szCs w:val="1"/>
                <w:color w:val="auto"/>
              </w:rPr>
            </w:pPr>
          </w:p>
        </w:tc>
      </w:tr>
      <w:tr>
        <w:trPr>
          <w:trHeight w:val="129"/>
        </w:trPr>
        <w:tc>
          <w:tcPr>
            <w:tcW w:w="49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Denominator:</w:t>
            </w:r>
          </w:p>
        </w:tc>
        <w:tc>
          <w:tcPr>
            <w:tcW w:w="2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96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Weighted average number of common stock – basic</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2"/>
              <w:spacing w:after="0" w:line="130" w:lineRule="exact"/>
              <w:rPr>
                <w:sz w:val="20"/>
                <w:szCs w:val="20"/>
                <w:color w:val="auto"/>
              </w:rPr>
            </w:pPr>
            <w:r>
              <w:rPr>
                <w:rFonts w:ascii="Times New Roman" w:cs="Times New Roman" w:eastAsia="Times New Roman" w:hAnsi="Times New Roman"/>
                <w:sz w:val="12"/>
                <w:szCs w:val="12"/>
                <w:color w:val="auto"/>
              </w:rPr>
              <w:t>22,717,260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22,426,184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22,631,660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22,394,385</w:t>
            </w:r>
          </w:p>
        </w:tc>
        <w:tc>
          <w:tcPr>
            <w:tcW w:w="0" w:type="dxa"/>
            <w:vAlign w:val="bottom"/>
          </w:tcPr>
          <w:p>
            <w:pPr>
              <w:spacing w:after="0"/>
              <w:rPr>
                <w:sz w:val="1"/>
                <w:szCs w:val="1"/>
                <w:color w:val="auto"/>
              </w:rPr>
            </w:pPr>
          </w:p>
        </w:tc>
      </w:tr>
      <w:tr>
        <w:trPr>
          <w:trHeight w:val="130"/>
        </w:trPr>
        <w:tc>
          <w:tcPr>
            <w:tcW w:w="496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Weighted average dilutive impact of awards</w:t>
            </w: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0"/>
        </w:trPr>
        <w:tc>
          <w:tcPr>
            <w:tcW w:w="4960" w:type="dxa"/>
            <w:vAlign w:val="bottom"/>
            <w:tcBorders>
              <w:bottom w:val="single" w:sz="8" w:color="CCEEFF"/>
            </w:tcBorders>
          </w:tcPr>
          <w:p>
            <w:pPr>
              <w:spacing w:after="0" w:line="120" w:lineRule="exact"/>
              <w:rPr>
                <w:sz w:val="20"/>
                <w:szCs w:val="20"/>
                <w:color w:val="auto"/>
              </w:rPr>
            </w:pPr>
            <w:r>
              <w:rPr>
                <w:rFonts w:ascii="Times New Roman" w:cs="Times New Roman" w:eastAsia="Times New Roman" w:hAnsi="Times New Roman"/>
                <w:sz w:val="12"/>
                <w:szCs w:val="12"/>
                <w:color w:val="auto"/>
              </w:rPr>
              <w:t>Weighted average number of common stock – diluted</w:t>
            </w:r>
          </w:p>
        </w:tc>
        <w:tc>
          <w:tcPr>
            <w:tcW w:w="260" w:type="dxa"/>
            <w:vAlign w:val="bottom"/>
            <w:tcBorders>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22,717,260</w:t>
            </w: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38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22,426,184</w:t>
            </w: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22,631,660</w:t>
            </w: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42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22,394,385</w:t>
            </w:r>
          </w:p>
        </w:tc>
        <w:tc>
          <w:tcPr>
            <w:tcW w:w="0" w:type="dxa"/>
            <w:vAlign w:val="bottom"/>
          </w:tcPr>
          <w:p>
            <w:pPr>
              <w:spacing w:after="0"/>
              <w:rPr>
                <w:sz w:val="1"/>
                <w:szCs w:val="1"/>
                <w:color w:val="auto"/>
              </w:rPr>
            </w:pPr>
          </w:p>
        </w:tc>
      </w:tr>
      <w:tr>
        <w:trPr>
          <w:trHeight w:val="149"/>
        </w:trPr>
        <w:tc>
          <w:tcPr>
            <w:tcW w:w="496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Basic earnings (loss) per share</w:t>
            </w:r>
          </w:p>
        </w:tc>
        <w:tc>
          <w:tcPr>
            <w:tcW w:w="2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78"/>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(0.18)</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(0.31)</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(0.51)</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278"/>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(1.48)</w:t>
            </w:r>
          </w:p>
        </w:tc>
        <w:tc>
          <w:tcPr>
            <w:tcW w:w="0" w:type="dxa"/>
            <w:vAlign w:val="bottom"/>
          </w:tcPr>
          <w:p>
            <w:pPr>
              <w:spacing w:after="0"/>
              <w:rPr>
                <w:sz w:val="1"/>
                <w:szCs w:val="1"/>
                <w:color w:val="auto"/>
              </w:rPr>
            </w:pPr>
          </w:p>
        </w:tc>
      </w:tr>
      <w:tr>
        <w:trPr>
          <w:trHeight w:val="109"/>
        </w:trPr>
        <w:tc>
          <w:tcPr>
            <w:tcW w:w="4960" w:type="dxa"/>
            <w:vAlign w:val="bottom"/>
            <w:tcBorders>
              <w:bottom w:val="single" w:sz="8" w:color="CCEEFF"/>
            </w:tcBorders>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Diluted earnings (loss) per share</w:t>
            </w:r>
          </w:p>
        </w:tc>
        <w:tc>
          <w:tcPr>
            <w:tcW w:w="26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jc w:val="right"/>
              <w:ind w:right="17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(0.18)</w:t>
            </w: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jc w:val="right"/>
              <w:ind w:right="26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(0.31)</w:t>
            </w: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jc w:val="right"/>
              <w:ind w:right="18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(0.51)</w:t>
            </w:r>
          </w:p>
        </w:tc>
        <w:tc>
          <w:tcPr>
            <w:tcW w:w="12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tcPr>
          <w:p>
            <w:pPr>
              <w:jc w:val="right"/>
              <w:ind w:right="27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(1.48)</w:t>
            </w:r>
          </w:p>
        </w:tc>
        <w:tc>
          <w:tcPr>
            <w:tcW w:w="0" w:type="dxa"/>
            <w:vAlign w:val="bottom"/>
          </w:tcPr>
          <w:p>
            <w:pPr>
              <w:spacing w:after="0"/>
              <w:rPr>
                <w:sz w:val="1"/>
                <w:szCs w:val="1"/>
                <w:color w:val="auto"/>
              </w:rPr>
            </w:pPr>
          </w:p>
        </w:tc>
      </w:tr>
      <w:tr>
        <w:trPr>
          <w:trHeight w:val="129"/>
        </w:trPr>
        <w:tc>
          <w:tcPr>
            <w:tcW w:w="496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Awards excluded from diluted earnings (loss) per share</w:t>
            </w:r>
          </w:p>
        </w:tc>
        <w:tc>
          <w:tcPr>
            <w:tcW w:w="2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3,696,662</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207,657</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3,696,662</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207,657</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2"/>
          <w:szCs w:val="12"/>
          <w:color w:val="auto"/>
        </w:rPr>
        <w:t>Our weighted average number of common stock - basic increased, primarily as a result of the vesting of restricted stock units. We did not repurchase any shares of Class A Common Stock during the first nine months of 2025 or 2024.</w:t>
      </w:r>
    </w:p>
    <w:p>
      <w:pPr>
        <w:spacing w:after="0" w:line="25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2"/>
          <w:szCs w:val="12"/>
          <w:color w:val="auto"/>
        </w:rPr>
        <w:t>Outstanding awards of 3,696,662 shares for the period ended September 30, 2025 and 207,657 shares for the period ended September 30, 2024 were excluded from the computation of dilutive shares, as they were anti-dilutive because of the net loss from continuing operations.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color w:val="auto"/>
        </w:rPr>
        <w:t>Note 7 – Property and Equipment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Property, net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Property associated with our operating activities as at September 30, 2025 and December 31, 2024, is summarized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240" w:type="dxa"/>
            <w:vAlign w:val="bottom"/>
          </w:tcPr>
          <w:p>
            <w:pPr>
              <w:spacing w:after="0"/>
              <w:rPr>
                <w:sz w:val="10"/>
                <w:szCs w:val="10"/>
                <w:color w:val="auto"/>
              </w:rPr>
            </w:pPr>
          </w:p>
        </w:tc>
        <w:tc>
          <w:tcPr>
            <w:tcW w:w="1160" w:type="dxa"/>
            <w:vAlign w:val="bottom"/>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8"/>
        </w:trPr>
        <w:tc>
          <w:tcPr>
            <w:tcW w:w="8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2025</w:t>
            </w: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9"/>
        </w:trPr>
        <w:tc>
          <w:tcPr>
            <w:tcW w:w="82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Land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98"/>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48,281</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47,267</w:t>
            </w:r>
          </w:p>
        </w:tc>
      </w:tr>
      <w:tr>
        <w:trPr>
          <w:trHeight w:val="130"/>
        </w:trPr>
        <w:tc>
          <w:tcPr>
            <w:tcW w:w="82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Building and improvements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170,565</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166,451</w:t>
            </w:r>
          </w:p>
        </w:tc>
      </w:tr>
      <w:tr>
        <w:trPr>
          <w:trHeight w:val="130"/>
        </w:trPr>
        <w:tc>
          <w:tcPr>
            <w:tcW w:w="8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Leasehold improvements</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48,581</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49,444</w:t>
            </w:r>
          </w:p>
        </w:tc>
      </w:tr>
      <w:tr>
        <w:trPr>
          <w:trHeight w:val="130"/>
        </w:trPr>
        <w:tc>
          <w:tcPr>
            <w:tcW w:w="82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Fixtures and equipment</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148,331</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143,773</w:t>
            </w:r>
          </w:p>
        </w:tc>
      </w:tr>
      <w:tr>
        <w:trPr>
          <w:trHeight w:val="130"/>
        </w:trPr>
        <w:tc>
          <w:tcPr>
            <w:tcW w:w="8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Construction-in-progress</w:t>
            </w:r>
          </w:p>
        </w:tc>
        <w:tc>
          <w:tcPr>
            <w:tcW w:w="1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2,104</w:t>
            </w:r>
          </w:p>
        </w:tc>
        <w:tc>
          <w:tcPr>
            <w:tcW w:w="1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1,987</w:t>
            </w:r>
          </w:p>
        </w:tc>
      </w:tr>
      <w:tr>
        <w:trPr>
          <w:trHeight w:val="120"/>
        </w:trPr>
        <w:tc>
          <w:tcPr>
            <w:tcW w:w="8200" w:type="dxa"/>
            <w:vAlign w:val="bottom"/>
            <w:tcBorders>
              <w:bottom w:val="single" w:sz="8" w:color="CCEEFF"/>
            </w:tcBorders>
          </w:tcPr>
          <w:p>
            <w:pPr>
              <w:spacing w:after="0" w:line="120" w:lineRule="exact"/>
              <w:rPr>
                <w:sz w:val="20"/>
                <w:szCs w:val="20"/>
                <w:color w:val="auto"/>
              </w:rPr>
            </w:pPr>
            <w:r>
              <w:rPr>
                <w:rFonts w:ascii="Times New Roman" w:cs="Times New Roman" w:eastAsia="Times New Roman" w:hAnsi="Times New Roman"/>
                <w:sz w:val="12"/>
                <w:szCs w:val="12"/>
                <w:color w:val="auto"/>
              </w:rPr>
              <w:t>Total cost</w:t>
            </w:r>
          </w:p>
        </w:tc>
        <w:tc>
          <w:tcPr>
            <w:tcW w:w="16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417,862</w:t>
            </w:r>
          </w:p>
        </w:tc>
        <w:tc>
          <w:tcPr>
            <w:tcW w:w="16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408,922</w:t>
            </w:r>
          </w:p>
        </w:tc>
      </w:tr>
      <w:tr>
        <w:trPr>
          <w:trHeight w:val="120"/>
        </w:trPr>
        <w:tc>
          <w:tcPr>
            <w:tcW w:w="8200" w:type="dxa"/>
            <w:vAlign w:val="bottom"/>
            <w:shd w:val="clear" w:color="auto" w:fill="CCEEFF"/>
          </w:tcPr>
          <w:p>
            <w:pPr>
              <w:ind w:left="60"/>
              <w:spacing w:after="0" w:line="120" w:lineRule="exact"/>
              <w:rPr>
                <w:sz w:val="20"/>
                <w:szCs w:val="20"/>
                <w:color w:val="auto"/>
              </w:rPr>
            </w:pPr>
            <w:r>
              <w:rPr>
                <w:rFonts w:ascii="Times New Roman" w:cs="Times New Roman" w:eastAsia="Times New Roman" w:hAnsi="Times New Roman"/>
                <w:sz w:val="12"/>
                <w:szCs w:val="12"/>
                <w:color w:val="auto"/>
              </w:rPr>
              <w:t>Less: accumulated depreciation</w:t>
            </w:r>
          </w:p>
        </w:tc>
        <w:tc>
          <w:tcPr>
            <w:tcW w:w="16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(207,337)</w:t>
            </w:r>
          </w:p>
        </w:tc>
        <w:tc>
          <w:tcPr>
            <w:tcW w:w="16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(194,228)</w:t>
            </w:r>
          </w:p>
        </w:tc>
      </w:tr>
      <w:tr>
        <w:trPr>
          <w:trHeight w:val="120"/>
        </w:trPr>
        <w:tc>
          <w:tcPr>
            <w:tcW w:w="820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Operating property, net</w:t>
            </w:r>
          </w:p>
        </w:tc>
        <w:tc>
          <w:tcPr>
            <w:tcW w:w="160" w:type="dxa"/>
            <w:vAlign w:val="bottom"/>
          </w:tcPr>
          <w:p>
            <w:pPr>
              <w:spacing w:after="0"/>
              <w:rPr>
                <w:sz w:val="10"/>
                <w:szCs w:val="10"/>
                <w:color w:val="auto"/>
              </w:rPr>
            </w:pPr>
          </w:p>
        </w:tc>
        <w:tc>
          <w:tcPr>
            <w:tcW w:w="240" w:type="dxa"/>
            <w:vAlign w:val="bottom"/>
            <w:tcBorders>
              <w:bottom w:val="single" w:sz="8" w:color="auto"/>
            </w:tcBorders>
          </w:tcPr>
          <w:p>
            <w:pPr>
              <w:jc w:val="right"/>
              <w:ind w:right="98"/>
              <w:spacing w:after="0" w:line="120"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210,525</w:t>
            </w:r>
          </w:p>
        </w:tc>
        <w:tc>
          <w:tcPr>
            <w:tcW w:w="160" w:type="dxa"/>
            <w:vAlign w:val="bottom"/>
          </w:tcPr>
          <w:p>
            <w:pPr>
              <w:spacing w:after="0"/>
              <w:rPr>
                <w:sz w:val="10"/>
                <w:szCs w:val="10"/>
                <w:color w:val="auto"/>
              </w:rPr>
            </w:pPr>
          </w:p>
        </w:tc>
        <w:tc>
          <w:tcPr>
            <w:tcW w:w="240" w:type="dxa"/>
            <w:vAlign w:val="bottom"/>
            <w:tcBorders>
              <w:bottom w:val="single" w:sz="8" w:color="auto"/>
            </w:tcBorders>
          </w:tcPr>
          <w:p>
            <w:pPr>
              <w:jc w:val="right"/>
              <w:ind w:right="12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214,694</w:t>
            </w:r>
          </w:p>
        </w:tc>
      </w:tr>
    </w:tbl>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2"/>
          <w:szCs w:val="12"/>
          <w:color w:val="auto"/>
        </w:rPr>
        <w:t>Depreciation expense for operating property was $3.2 million and $9.9 million for the quarter and nine months ended September 30, 2025, as compared to $3.9 million and $11.9 million for the quarter and nine months ended September 30, 2024.</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Construction-in-Progress – Operating Properties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Construction-in-Progress balances are included in our operating properties. The balances of our major projects along with the movements for the nine months ended September 30, 2025, are shown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3"/>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8"/>
              </w:rPr>
              <w:t>Balance,</w:t>
            </w: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Completed</w:t>
            </w: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jc w:val="center"/>
              <w:ind w:right="164"/>
              <w:spacing w:after="0"/>
              <w:rPr>
                <w:sz w:val="20"/>
                <w:szCs w:val="20"/>
                <w:color w:val="auto"/>
              </w:rPr>
            </w:pPr>
            <w:r>
              <w:rPr>
                <w:rFonts w:ascii="Times New Roman" w:cs="Times New Roman" w:eastAsia="Times New Roman" w:hAnsi="Times New Roman"/>
                <w:sz w:val="10"/>
                <w:szCs w:val="10"/>
                <w:b w:val="1"/>
                <w:bCs w:val="1"/>
                <w:color w:val="auto"/>
              </w:rPr>
              <w:t>Foreign</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center"/>
              <w:ind w:right="141"/>
              <w:spacing w:after="0"/>
              <w:rPr>
                <w:sz w:val="20"/>
                <w:szCs w:val="20"/>
                <w:color w:val="auto"/>
              </w:rPr>
            </w:pPr>
            <w:r>
              <w:rPr>
                <w:rFonts w:ascii="Times New Roman" w:cs="Times New Roman" w:eastAsia="Times New Roman" w:hAnsi="Times New Roman"/>
                <w:sz w:val="10"/>
                <w:szCs w:val="10"/>
                <w:b w:val="1"/>
                <w:bCs w:val="1"/>
                <w:color w:val="auto"/>
                <w:w w:val="98"/>
              </w:rPr>
              <w:t>Balance,</w:t>
            </w:r>
          </w:p>
        </w:tc>
        <w:tc>
          <w:tcPr>
            <w:tcW w:w="0" w:type="dxa"/>
            <w:vAlign w:val="bottom"/>
          </w:tcPr>
          <w:p>
            <w:pPr>
              <w:spacing w:after="0"/>
              <w:rPr>
                <w:sz w:val="1"/>
                <w:szCs w:val="1"/>
                <w:color w:val="auto"/>
              </w:rPr>
            </w:pPr>
          </w:p>
        </w:tc>
      </w:tr>
      <w:tr>
        <w:trPr>
          <w:trHeight w:val="102"/>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7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rPr>
              <w:t>December‎</w:t>
            </w:r>
          </w:p>
        </w:tc>
        <w:tc>
          <w:tcPr>
            <w:tcW w:w="460" w:type="dxa"/>
            <w:vAlign w:val="bottom"/>
          </w:tcPr>
          <w:p>
            <w:pPr>
              <w:jc w:val="right"/>
              <w:ind w:right="261"/>
              <w:spacing w:after="0" w:line="103" w:lineRule="exact"/>
              <w:rPr>
                <w:sz w:val="20"/>
                <w:szCs w:val="20"/>
                <w:color w:val="auto"/>
              </w:rPr>
            </w:pPr>
            <w:r>
              <w:rPr>
                <w:rFonts w:ascii="Times New Roman" w:cs="Times New Roman" w:eastAsia="Times New Roman" w:hAnsi="Times New Roman"/>
                <w:sz w:val="10"/>
                <w:szCs w:val="10"/>
                <w:b w:val="1"/>
                <w:bCs w:val="1"/>
                <w:color w:val="auto"/>
                <w:w w:val="95"/>
              </w:rPr>
              <w:t>31,</w:t>
            </w:r>
          </w:p>
        </w:tc>
        <w:tc>
          <w:tcPr>
            <w:tcW w:w="8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w w:val="98"/>
              </w:rPr>
              <w:t>Additions during the period</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gridSpan w:val="2"/>
          </w:tcPr>
          <w:p>
            <w:pPr>
              <w:jc w:val="center"/>
              <w:ind w:right="300"/>
              <w:spacing w:after="0" w:line="103" w:lineRule="exact"/>
              <w:rPr>
                <w:sz w:val="20"/>
                <w:szCs w:val="20"/>
                <w:color w:val="auto"/>
              </w:rPr>
            </w:pPr>
            <w:r>
              <w:rPr>
                <w:rFonts w:ascii="Times New Roman" w:cs="Times New Roman" w:eastAsia="Times New Roman" w:hAnsi="Times New Roman"/>
                <w:sz w:val="10"/>
                <w:szCs w:val="10"/>
                <w:b w:val="1"/>
                <w:bCs w:val="1"/>
                <w:color w:val="auto"/>
                <w:w w:val="98"/>
              </w:rPr>
              <w:t>‎during the</w:t>
            </w:r>
          </w:p>
        </w:tc>
        <w:tc>
          <w:tcPr>
            <w:tcW w:w="1520" w:type="dxa"/>
            <w:vAlign w:val="bottom"/>
            <w:gridSpan w:val="4"/>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Transferred to Held for Sale</w:t>
            </w:r>
          </w:p>
        </w:tc>
        <w:tc>
          <w:tcPr>
            <w:tcW w:w="1000" w:type="dxa"/>
            <w:vAlign w:val="bottom"/>
          </w:tcPr>
          <w:p>
            <w:pPr>
              <w:jc w:val="center"/>
              <w:ind w:right="164"/>
              <w:spacing w:after="0" w:line="103" w:lineRule="exact"/>
              <w:rPr>
                <w:sz w:val="20"/>
                <w:szCs w:val="20"/>
                <w:color w:val="auto"/>
              </w:rPr>
            </w:pPr>
            <w:r>
              <w:rPr>
                <w:rFonts w:ascii="Times New Roman" w:cs="Times New Roman" w:eastAsia="Times New Roman" w:hAnsi="Times New Roman"/>
                <w:sz w:val="10"/>
                <w:szCs w:val="10"/>
                <w:b w:val="1"/>
                <w:bCs w:val="1"/>
                <w:color w:val="auto"/>
                <w:w w:val="99"/>
              </w:rPr>
              <w:t>‎currency</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ind w:left="120"/>
              <w:spacing w:after="0" w:line="103" w:lineRule="exact"/>
              <w:rPr>
                <w:sz w:val="20"/>
                <w:szCs w:val="20"/>
                <w:color w:val="auto"/>
              </w:rPr>
            </w:pPr>
            <w:r>
              <w:rPr>
                <w:rFonts w:ascii="Times New Roman" w:cs="Times New Roman" w:eastAsia="Times New Roman" w:hAnsi="Times New Roman"/>
                <w:sz w:val="10"/>
                <w:szCs w:val="10"/>
                <w:b w:val="1"/>
                <w:bCs w:val="1"/>
                <w:color w:val="auto"/>
                <w:w w:val="99"/>
              </w:rPr>
              <w:t>September‎</w:t>
            </w:r>
          </w:p>
        </w:tc>
        <w:tc>
          <w:tcPr>
            <w:tcW w:w="440" w:type="dxa"/>
            <w:vAlign w:val="bottom"/>
          </w:tcPr>
          <w:p>
            <w:pPr>
              <w:jc w:val="right"/>
              <w:ind w:right="261"/>
              <w:spacing w:after="0" w:line="103" w:lineRule="exact"/>
              <w:rPr>
                <w:sz w:val="20"/>
                <w:szCs w:val="20"/>
                <w:color w:val="auto"/>
              </w:rPr>
            </w:pPr>
            <w:r>
              <w:rPr>
                <w:rFonts w:ascii="Times New Roman" w:cs="Times New Roman" w:eastAsia="Times New Roman" w:hAnsi="Times New Roman"/>
                <w:sz w:val="10"/>
                <w:szCs w:val="10"/>
                <w:b w:val="1"/>
                <w:bCs w:val="1"/>
                <w:color w:val="auto"/>
                <w:w w:val="79"/>
              </w:rPr>
              <w:t>30,</w:t>
            </w:r>
          </w:p>
        </w:tc>
        <w:tc>
          <w:tcPr>
            <w:tcW w:w="0" w:type="dxa"/>
            <w:vAlign w:val="bottom"/>
          </w:tcPr>
          <w:p>
            <w:pPr>
              <w:spacing w:after="0"/>
              <w:rPr>
                <w:sz w:val="1"/>
                <w:szCs w:val="1"/>
                <w:color w:val="auto"/>
              </w:rPr>
            </w:pPr>
          </w:p>
        </w:tc>
      </w:tr>
      <w:tr>
        <w:trPr>
          <w:trHeight w:val="128"/>
        </w:trPr>
        <w:tc>
          <w:tcPr>
            <w:tcW w:w="3620" w:type="dxa"/>
            <w:vAlign w:val="bottom"/>
            <w:tcBorders>
              <w:bottom w:val="single" w:sz="8" w:color="CCEEFF"/>
            </w:tcBorders>
            <w:gridSpan w:val="2"/>
            <w:vMerge w:val="continue"/>
          </w:tcPr>
          <w:p>
            <w:pPr>
              <w:spacing w:after="0"/>
              <w:rPr>
                <w:sz w:val="11"/>
                <w:szCs w:val="11"/>
                <w:color w:val="auto"/>
              </w:rPr>
            </w:pPr>
          </w:p>
        </w:tc>
        <w:tc>
          <w:tcPr>
            <w:tcW w:w="760" w:type="dxa"/>
            <w:vAlign w:val="bottom"/>
            <w:tcBorders>
              <w:bottom w:val="single" w:sz="8" w:color="auto"/>
            </w:tcBorders>
          </w:tcPr>
          <w:p>
            <w:pPr>
              <w:jc w:val="center"/>
              <w:ind w:left="429"/>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1520" w:type="dxa"/>
            <w:vAlign w:val="bottom"/>
            <w:tcBorders>
              <w:bottom w:val="single" w:sz="8" w:color="auto"/>
            </w:tcBorders>
            <w:gridSpan w:val="4"/>
            <w:vMerge w:val="continue"/>
          </w:tcPr>
          <w:p>
            <w:pPr>
              <w:spacing w:after="0"/>
              <w:rPr>
                <w:sz w:val="11"/>
                <w:szCs w:val="11"/>
                <w:color w:val="auto"/>
              </w:rPr>
            </w:pPr>
          </w:p>
        </w:tc>
        <w:tc>
          <w:tcPr>
            <w:tcW w:w="100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0"/>
                <w:szCs w:val="10"/>
                <w:b w:val="1"/>
                <w:bCs w:val="1"/>
                <w:color w:val="auto"/>
                <w:w w:val="98"/>
              </w:rPr>
              <w:t>‎translation</w:t>
            </w: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620" w:type="dxa"/>
            <w:vAlign w:val="bottom"/>
            <w:gridSpan w:val="2"/>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Cinema developments and improvements</w:t>
            </w:r>
          </w:p>
        </w:tc>
        <w:tc>
          <w:tcPr>
            <w:tcW w:w="7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1,745</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92</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80"/>
              <w:spacing w:after="0" w:line="120" w:lineRule="exact"/>
              <w:rPr>
                <w:sz w:val="20"/>
                <w:szCs w:val="20"/>
                <w:color w:val="auto"/>
              </w:rPr>
            </w:pPr>
            <w:r>
              <w:rPr>
                <w:rFonts w:ascii="Times New Roman" w:cs="Times New Roman" w:eastAsia="Times New Roman" w:hAnsi="Times New Roman"/>
                <w:sz w:val="12"/>
                <w:szCs w:val="12"/>
                <w:color w:val="auto"/>
              </w:rPr>
              <w:t>(84)</w:t>
            </w:r>
          </w:p>
        </w:tc>
        <w:tc>
          <w:tcPr>
            <w:tcW w:w="560" w:type="dxa"/>
            <w:vAlign w:val="bottom"/>
            <w:shd w:val="clear" w:color="auto" w:fill="CCEEFF"/>
          </w:tcPr>
          <w:p>
            <w:pPr>
              <w:spacing w:after="0"/>
              <w:rPr>
                <w:sz w:val="10"/>
                <w:szCs w:val="10"/>
                <w:color w:val="auto"/>
              </w:rPr>
            </w:pPr>
          </w:p>
        </w:tc>
        <w:tc>
          <w:tcPr>
            <w:tcW w:w="960" w:type="dxa"/>
            <w:vAlign w:val="bottom"/>
            <w:gridSpan w:val="3"/>
            <w:shd w:val="clear" w:color="auto" w:fill="CCEEFF"/>
          </w:tcPr>
          <w:p>
            <w:pPr>
              <w:ind w:left="500"/>
              <w:spacing w:after="0" w:line="120"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7</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1"/>
              <w:spacing w:after="0" w:line="120" w:lineRule="exact"/>
              <w:rPr>
                <w:sz w:val="20"/>
                <w:szCs w:val="20"/>
                <w:color w:val="auto"/>
              </w:rPr>
            </w:pPr>
            <w:r>
              <w:rPr>
                <w:rFonts w:ascii="Times New Roman" w:cs="Times New Roman" w:eastAsia="Times New Roman" w:hAnsi="Times New Roman"/>
                <w:sz w:val="12"/>
                <w:szCs w:val="12"/>
                <w:color w:val="auto"/>
              </w:rPr>
              <w:t>1,760</w:t>
            </w:r>
          </w:p>
        </w:tc>
        <w:tc>
          <w:tcPr>
            <w:tcW w:w="0" w:type="dxa"/>
            <w:vAlign w:val="bottom"/>
          </w:tcPr>
          <w:p>
            <w:pPr>
              <w:spacing w:after="0"/>
              <w:rPr>
                <w:sz w:val="1"/>
                <w:szCs w:val="1"/>
                <w:color w:val="auto"/>
              </w:rPr>
            </w:pPr>
          </w:p>
        </w:tc>
      </w:tr>
      <w:tr>
        <w:trPr>
          <w:trHeight w:val="130"/>
        </w:trPr>
        <w:tc>
          <w:tcPr>
            <w:tcW w:w="362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color w:val="auto"/>
              </w:rPr>
              <w:t>Other real estate projects</w:t>
            </w:r>
          </w:p>
        </w:tc>
        <w:tc>
          <w:tcPr>
            <w:tcW w:w="760" w:type="dxa"/>
            <w:vAlign w:val="bottom"/>
          </w:tcPr>
          <w:p>
            <w:pPr>
              <w:spacing w:after="0"/>
              <w:rPr>
                <w:sz w:val="11"/>
                <w:szCs w:val="11"/>
                <w:color w:val="auto"/>
              </w:rPr>
            </w:pPr>
          </w:p>
        </w:tc>
        <w:tc>
          <w:tcPr>
            <w:tcW w:w="4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242</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232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(137)</w:t>
            </w:r>
          </w:p>
        </w:tc>
        <w:tc>
          <w:tcPr>
            <w:tcW w:w="560" w:type="dxa"/>
            <w:vAlign w:val="bottom"/>
          </w:tcPr>
          <w:p>
            <w:pPr>
              <w:spacing w:after="0"/>
              <w:rPr>
                <w:sz w:val="11"/>
                <w:szCs w:val="11"/>
                <w:color w:val="auto"/>
              </w:rPr>
            </w:pPr>
          </w:p>
        </w:tc>
        <w:tc>
          <w:tcPr>
            <w:tcW w:w="960" w:type="dxa"/>
            <w:vAlign w:val="bottom"/>
            <w:gridSpan w:val="3"/>
          </w:tcPr>
          <w:p>
            <w:pPr>
              <w:ind w:left="50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344</w:t>
            </w:r>
          </w:p>
        </w:tc>
        <w:tc>
          <w:tcPr>
            <w:tcW w:w="0" w:type="dxa"/>
            <w:vAlign w:val="bottom"/>
          </w:tcPr>
          <w:p>
            <w:pPr>
              <w:spacing w:after="0"/>
              <w:rPr>
                <w:sz w:val="1"/>
                <w:szCs w:val="1"/>
                <w:color w:val="auto"/>
              </w:rPr>
            </w:pPr>
          </w:p>
        </w:tc>
      </w:tr>
      <w:tr>
        <w:trPr>
          <w:trHeight w:val="120"/>
        </w:trPr>
        <w:tc>
          <w:tcPr>
            <w:tcW w:w="3560" w:type="dxa"/>
            <w:vAlign w:val="bottom"/>
            <w:tcBorders>
              <w:top w:val="single" w:sz="8" w:color="auto"/>
              <w:bottom w:val="single" w:sz="8" w:color="auto"/>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ind w:right="649"/>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1,987</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324</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jc w:val="right"/>
              <w:ind w:right="10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(221)</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Borders>
              <w:top w:val="single" w:sz="8" w:color="auto"/>
              <w:bottom w:val="single" w:sz="8" w:color="auto"/>
            </w:tcBorders>
            <w:shd w:val="clear" w:color="auto" w:fill="CCEEFF"/>
          </w:tcPr>
          <w:p>
            <w:pPr>
              <w:ind w:left="500"/>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jc w:val="right"/>
              <w:ind w:right="10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14</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6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2,104</w:t>
            </w: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Recent Real Estate Monetizations</w:t>
      </w:r>
    </w:p>
    <w:p>
      <w:pPr>
        <w:spacing w:after="0" w:line="13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2"/>
          <w:szCs w:val="12"/>
          <w:color w:val="auto"/>
        </w:rPr>
        <w:t>In order to support our liquidity, we have monetized certain of our real estate holdings. During 2024 and the first nine months of 2025 we sold three held for sale properties. In the first quarter of 2024, we monetized our office building in Culver City for $10.0 million. In the first quarter of 2025, we monetized our properties in Wellington, New Zealand for $21.5 million. In the second quarter of 2025, we monetized our Cannon Park properties, for $20.7 million. In the second quarter of 2023, we classified our Newberry Yard, Williamsport, Pennsylvania, property as held for sale.</w:t>
      </w:r>
    </w:p>
    <w:p>
      <w:pPr>
        <w:spacing w:after="0" w:line="1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2"/>
          <w:szCs w:val="12"/>
          <w:color w:val="auto"/>
        </w:rPr>
        <w:t>A ‘disposal group’ represents assets to be disposed of in a single transaction. A disposal group may represent a single asset, or, multiple assets. Discussed below are those real estate transactions affecting the presentation in our consolidated balance sheet as of September 30, 2025 and December 31, 2024, and the profitability determination in our consolidated statements of income for the quarter and nine months ended September 30, 2025, and 2024.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Cannon Park, Townsville, Queensland, Australia</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In May 2024, we classified our Cannon Park ETC in Townsville, Queensland, Australia, as held for sale at the lower of cost and fair value less costs to sell. The disposal group consists of our Cannon Park City Center and Cannon Park Discount Center properties, comprising approximately 9.4-acres. The sale of the property was completed on May 21, 2025, at a gross sale price of $20.7 million. The proceeds were used principally to pay off our NAB bridging facility, and to reduce our Bank of America debt. We retained a lease over the cinema.</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gain on sale of this property is calculated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6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180" w:type="dxa"/>
            <w:vAlign w:val="bottom"/>
          </w:tcPr>
          <w:p>
            <w:pPr>
              <w:jc w:val="right"/>
              <w:ind w:right="1201"/>
              <w:spacing w:after="0"/>
              <w:rPr>
                <w:sz w:val="20"/>
                <w:szCs w:val="20"/>
                <w:color w:val="auto"/>
              </w:rPr>
            </w:pPr>
            <w:r>
              <w:rPr>
                <w:rFonts w:ascii="Times New Roman" w:cs="Times New Roman" w:eastAsia="Times New Roman" w:hAnsi="Times New Roman"/>
                <w:sz w:val="10"/>
                <w:szCs w:val="10"/>
                <w:b w:val="1"/>
                <w:bCs w:val="1"/>
                <w:color w:val="auto"/>
              </w:rPr>
              <w:t>June 30</w:t>
            </w:r>
          </w:p>
        </w:tc>
      </w:tr>
      <w:tr>
        <w:trPr>
          <w:trHeight w:val="128"/>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464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jc w:val="right"/>
              <w:ind w:right="1261"/>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29"/>
        </w:trPr>
        <w:tc>
          <w:tcPr>
            <w:tcW w:w="36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Sales price</w:t>
            </w:r>
          </w:p>
        </w:tc>
        <w:tc>
          <w:tcPr>
            <w:tcW w:w="4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2180" w:type="dxa"/>
            <w:vAlign w:val="bottom"/>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20,698</w:t>
            </w:r>
          </w:p>
        </w:tc>
      </w:tr>
      <w:tr>
        <w:trPr>
          <w:trHeight w:val="130"/>
        </w:trPr>
        <w:tc>
          <w:tcPr>
            <w:tcW w:w="3620" w:type="dxa"/>
            <w:vAlign w:val="bottom"/>
            <w:tcBorders>
              <w:bottom w:val="single" w:sz="8" w:color="CCEEFF"/>
            </w:tcBorders>
          </w:tcPr>
          <w:p>
            <w:pPr>
              <w:spacing w:after="0" w:line="130" w:lineRule="exact"/>
              <w:rPr>
                <w:sz w:val="20"/>
                <w:szCs w:val="20"/>
                <w:color w:val="auto"/>
              </w:rPr>
            </w:pPr>
            <w:r>
              <w:rPr>
                <w:rFonts w:ascii="Times New Roman" w:cs="Times New Roman" w:eastAsia="Times New Roman" w:hAnsi="Times New Roman"/>
                <w:sz w:val="12"/>
                <w:szCs w:val="12"/>
                <w:color w:val="auto"/>
              </w:rPr>
              <w:t>Net book value</w:t>
            </w:r>
          </w:p>
        </w:tc>
        <w:tc>
          <w:tcPr>
            <w:tcW w:w="46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(18,361)</w:t>
            </w:r>
          </w:p>
        </w:tc>
      </w:tr>
      <w:tr>
        <w:trPr>
          <w:trHeight w:val="120"/>
        </w:trPr>
        <w:tc>
          <w:tcPr>
            <w:tcW w:w="36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Gain on sale, gross of direct costs</w:t>
            </w:r>
          </w:p>
        </w:tc>
        <w:tc>
          <w:tcPr>
            <w:tcW w:w="4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180" w:type="dxa"/>
            <w:vAlign w:val="bottom"/>
            <w:shd w:val="clear" w:color="auto" w:fill="CCEEFF"/>
          </w:tcPr>
          <w:p>
            <w:pPr>
              <w:jc w:val="right"/>
              <w:ind w:right="1"/>
              <w:spacing w:after="0" w:line="120" w:lineRule="exact"/>
              <w:rPr>
                <w:sz w:val="20"/>
                <w:szCs w:val="20"/>
                <w:color w:val="auto"/>
              </w:rPr>
            </w:pPr>
            <w:r>
              <w:rPr>
                <w:rFonts w:ascii="Times New Roman" w:cs="Times New Roman" w:eastAsia="Times New Roman" w:hAnsi="Times New Roman"/>
                <w:sz w:val="12"/>
                <w:szCs w:val="12"/>
                <w:color w:val="auto"/>
              </w:rPr>
              <w:t>2,337</w:t>
            </w:r>
          </w:p>
        </w:tc>
      </w:tr>
      <w:tr>
        <w:trPr>
          <w:trHeight w:val="130"/>
        </w:trPr>
        <w:tc>
          <w:tcPr>
            <w:tcW w:w="3620" w:type="dxa"/>
            <w:vAlign w:val="bottom"/>
            <w:tcBorders>
              <w:bottom w:val="single" w:sz="8" w:color="CCEEFF"/>
            </w:tcBorders>
          </w:tcPr>
          <w:p>
            <w:pPr>
              <w:spacing w:after="0" w:line="130" w:lineRule="exact"/>
              <w:rPr>
                <w:sz w:val="20"/>
                <w:szCs w:val="20"/>
                <w:color w:val="auto"/>
              </w:rPr>
            </w:pPr>
            <w:r>
              <w:rPr>
                <w:rFonts w:ascii="Times New Roman" w:cs="Times New Roman" w:eastAsia="Times New Roman" w:hAnsi="Times New Roman"/>
                <w:sz w:val="12"/>
                <w:szCs w:val="12"/>
                <w:color w:val="auto"/>
              </w:rPr>
              <w:t>Direct sale costs incurred</w:t>
            </w:r>
          </w:p>
        </w:tc>
        <w:tc>
          <w:tcPr>
            <w:tcW w:w="46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(518)</w:t>
            </w:r>
          </w:p>
        </w:tc>
      </w:tr>
      <w:tr>
        <w:trPr>
          <w:trHeight w:val="140"/>
        </w:trPr>
        <w:tc>
          <w:tcPr>
            <w:tcW w:w="3620" w:type="dxa"/>
            <w:vAlign w:val="bottom"/>
            <w:tcBorders>
              <w:bottom w:val="single" w:sz="8" w:color="CCEEFF"/>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Gain on sale, net of direct costs</w:t>
            </w:r>
          </w:p>
        </w:tc>
        <w:tc>
          <w:tcPr>
            <w:tcW w:w="46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54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218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1,819</w:t>
            </w:r>
          </w:p>
        </w:tc>
      </w:tr>
      <w:tr>
        <w:trPr>
          <w:trHeight w:val="257"/>
        </w:trPr>
        <w:tc>
          <w:tcPr>
            <w:tcW w:w="3620" w:type="dxa"/>
            <w:vAlign w:val="bottom"/>
          </w:tcPr>
          <w:p>
            <w:pPr>
              <w:spacing w:after="0"/>
              <w:rPr>
                <w:sz w:val="22"/>
                <w:szCs w:val="22"/>
                <w:color w:val="auto"/>
              </w:rPr>
            </w:pPr>
          </w:p>
        </w:tc>
        <w:tc>
          <w:tcPr>
            <w:tcW w:w="4640" w:type="dxa"/>
            <w:vAlign w:val="bottom"/>
          </w:tcPr>
          <w:p>
            <w:pPr>
              <w:jc w:val="right"/>
              <w:ind w:right="2498"/>
              <w:spacing w:after="0"/>
              <w:rPr>
                <w:sz w:val="20"/>
                <w:szCs w:val="20"/>
                <w:color w:val="auto"/>
              </w:rPr>
            </w:pPr>
            <w:r>
              <w:rPr>
                <w:rFonts w:ascii="Times New Roman" w:cs="Times New Roman" w:eastAsia="Times New Roman" w:hAnsi="Times New Roman"/>
                <w:sz w:val="12"/>
                <w:szCs w:val="12"/>
                <w:color w:val="auto"/>
              </w:rPr>
              <w:t>14</w:t>
            </w: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180" w:type="dxa"/>
            <w:vAlign w:val="bottom"/>
          </w:tcPr>
          <w:p>
            <w:pPr>
              <w:spacing w:after="0"/>
              <w:rPr>
                <w:sz w:val="22"/>
                <w:szCs w:val="22"/>
                <w:color w:val="auto"/>
              </w:rPr>
            </w:pPr>
          </w:p>
        </w:tc>
      </w:tr>
      <w:tr>
        <w:trPr>
          <w:trHeight w:val="216"/>
        </w:trPr>
        <w:tc>
          <w:tcPr>
            <w:tcW w:w="3620" w:type="dxa"/>
            <w:vAlign w:val="bottom"/>
            <w:tcBorders>
              <w:bottom w:val="single" w:sz="8" w:color="9A9A9A"/>
            </w:tcBorders>
          </w:tcPr>
          <w:p>
            <w:pPr>
              <w:spacing w:after="0"/>
              <w:rPr>
                <w:sz w:val="18"/>
                <w:szCs w:val="18"/>
                <w:color w:val="auto"/>
              </w:rPr>
            </w:pPr>
          </w:p>
        </w:tc>
        <w:tc>
          <w:tcPr>
            <w:tcW w:w="46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21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7152640</wp:posOffset>
            </wp:positionH>
            <wp:positionV relativeFrom="paragraph">
              <wp:posOffset>-24130</wp:posOffset>
            </wp:positionV>
            <wp:extent cx="3111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-24130</wp:posOffset>
            </wp:positionV>
            <wp:extent cx="3111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u w:val="single" w:color="auto"/>
          <w:color w:val="auto"/>
        </w:rPr>
        <w:t>Courtenay Central, Wellington, New Zealand</w:t>
      </w:r>
    </w:p>
    <w:p>
      <w:pPr>
        <w:spacing w:after="0" w:line="13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2"/>
          <w:szCs w:val="12"/>
          <w:color w:val="auto"/>
        </w:rPr>
        <w:t>In June 2024, we classified our property assets in Wellington, New Zealand including Courtenay Central, as held for sale at the lower of cost and fair value less costs to sell. The disposal group consisted of our Courtenay Central cinema and retail property, along with our Tory and Wakefield Street car parks. Our book value (as opposed to fair value) of the property was $14.7 million. No adjustments to the book value of the assets were required upon classification as held for sale. The sale was completed on January 31, 2025, at a gross sale price of $21.5 million. The proceeds were used to pay off the Westpac mortgage on the property, and to reduce our Bank of America debt. We have an Agreement to Lease the cinema portion from the Purchaser, which is expected to commence upon the completion of seismic upgrade work by the Landlord and cinema fit-out work by ourselves.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gain on sale of this property is calculated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8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0" w:type="dxa"/>
            <w:vAlign w:val="bottom"/>
          </w:tcPr>
          <w:p>
            <w:pPr>
              <w:jc w:val="right"/>
              <w:ind w:right="1161"/>
              <w:spacing w:after="0"/>
              <w:rPr>
                <w:sz w:val="20"/>
                <w:szCs w:val="20"/>
                <w:color w:val="auto"/>
              </w:rPr>
            </w:pPr>
            <w:r>
              <w:rPr>
                <w:rFonts w:ascii="Times New Roman" w:cs="Times New Roman" w:eastAsia="Times New Roman" w:hAnsi="Times New Roman"/>
                <w:sz w:val="10"/>
                <w:szCs w:val="10"/>
                <w:b w:val="1"/>
                <w:bCs w:val="1"/>
                <w:color w:val="auto"/>
              </w:rPr>
              <w:t>March 31</w:t>
            </w:r>
          </w:p>
        </w:tc>
      </w:tr>
      <w:tr>
        <w:trPr>
          <w:trHeight w:val="128"/>
        </w:trPr>
        <w:tc>
          <w:tcPr>
            <w:tcW w:w="8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2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jc w:val="right"/>
              <w:ind w:right="1261"/>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129"/>
        </w:trPr>
        <w:tc>
          <w:tcPr>
            <w:tcW w:w="82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Sales price</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2200" w:type="dxa"/>
            <w:vAlign w:val="bottom"/>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21,538</w:t>
            </w:r>
          </w:p>
        </w:tc>
      </w:tr>
      <w:tr>
        <w:trPr>
          <w:trHeight w:val="130"/>
        </w:trPr>
        <w:tc>
          <w:tcPr>
            <w:tcW w:w="8260" w:type="dxa"/>
            <w:vAlign w:val="bottom"/>
            <w:tcBorders>
              <w:bottom w:val="single" w:sz="8" w:color="CCEEFF"/>
            </w:tcBorders>
          </w:tcPr>
          <w:p>
            <w:pPr>
              <w:spacing w:after="0" w:line="130" w:lineRule="exact"/>
              <w:rPr>
                <w:sz w:val="20"/>
                <w:szCs w:val="20"/>
                <w:color w:val="auto"/>
              </w:rPr>
            </w:pPr>
            <w:r>
              <w:rPr>
                <w:rFonts w:ascii="Times New Roman" w:cs="Times New Roman" w:eastAsia="Times New Roman" w:hAnsi="Times New Roman"/>
                <w:sz w:val="12"/>
                <w:szCs w:val="12"/>
                <w:color w:val="auto"/>
              </w:rPr>
              <w:t>Net book value</w:t>
            </w:r>
          </w:p>
        </w:tc>
        <w:tc>
          <w:tcPr>
            <w:tcW w:w="2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(14,666)</w:t>
            </w:r>
          </w:p>
        </w:tc>
      </w:tr>
      <w:tr>
        <w:trPr>
          <w:trHeight w:val="120"/>
        </w:trPr>
        <w:tc>
          <w:tcPr>
            <w:tcW w:w="826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Gain on sale, gross of direct costs</w:t>
            </w: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0" w:type="dxa"/>
            <w:vAlign w:val="bottom"/>
            <w:shd w:val="clear" w:color="auto" w:fill="CCEEFF"/>
          </w:tcPr>
          <w:p>
            <w:pPr>
              <w:jc w:val="right"/>
              <w:ind w:right="1"/>
              <w:spacing w:after="0" w:line="120" w:lineRule="exact"/>
              <w:rPr>
                <w:sz w:val="20"/>
                <w:szCs w:val="20"/>
                <w:color w:val="auto"/>
              </w:rPr>
            </w:pPr>
            <w:r>
              <w:rPr>
                <w:rFonts w:ascii="Times New Roman" w:cs="Times New Roman" w:eastAsia="Times New Roman" w:hAnsi="Times New Roman"/>
                <w:sz w:val="12"/>
                <w:szCs w:val="12"/>
                <w:color w:val="auto"/>
              </w:rPr>
              <w:t>6,872</w:t>
            </w:r>
          </w:p>
        </w:tc>
      </w:tr>
      <w:tr>
        <w:trPr>
          <w:trHeight w:val="130"/>
        </w:trPr>
        <w:tc>
          <w:tcPr>
            <w:tcW w:w="8260" w:type="dxa"/>
            <w:vAlign w:val="bottom"/>
            <w:tcBorders>
              <w:bottom w:val="single" w:sz="8" w:color="CCEEFF"/>
            </w:tcBorders>
          </w:tcPr>
          <w:p>
            <w:pPr>
              <w:spacing w:after="0" w:line="130" w:lineRule="exact"/>
              <w:rPr>
                <w:sz w:val="20"/>
                <w:szCs w:val="20"/>
                <w:color w:val="auto"/>
              </w:rPr>
            </w:pPr>
            <w:r>
              <w:rPr>
                <w:rFonts w:ascii="Times New Roman" w:cs="Times New Roman" w:eastAsia="Times New Roman" w:hAnsi="Times New Roman"/>
                <w:sz w:val="12"/>
                <w:szCs w:val="12"/>
                <w:color w:val="auto"/>
              </w:rPr>
              <w:t>Direct sale costs incurred</w:t>
            </w:r>
          </w:p>
        </w:tc>
        <w:tc>
          <w:tcPr>
            <w:tcW w:w="2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(306)</w:t>
            </w:r>
          </w:p>
        </w:tc>
      </w:tr>
      <w:tr>
        <w:trPr>
          <w:trHeight w:val="120"/>
        </w:trPr>
        <w:tc>
          <w:tcPr>
            <w:tcW w:w="8260" w:type="dxa"/>
            <w:vAlign w:val="bottom"/>
            <w:tcBorders>
              <w:bottom w:val="single" w:sz="8" w:color="CCEEFF"/>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Gain on sale, net of direct costs</w:t>
            </w:r>
          </w:p>
        </w:tc>
        <w:tc>
          <w:tcPr>
            <w:tcW w:w="20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ind w:right="52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220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6,566</w:t>
            </w: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Culver City, California</w:t>
      </w:r>
    </w:p>
    <w:p>
      <w:pPr>
        <w:spacing w:after="0" w:line="11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2"/>
          <w:szCs w:val="12"/>
          <w:color w:val="auto"/>
        </w:rPr>
        <w:t>In May 2023, we classified our Culver City administrative building, commonly known as 5995 Sepulveda Blvd., as held for sale. Our book value (as opposed to fair value) of the property was $10.8 million, being the lower of cost and fair value less costs to sell. No adjustments to the book value of the assets contained within this disposal group were required. The disposal group consisted of land, a building and various leasehold improvements. The sale was completed on February 23, 2024, at a gross sales price of $10.0 million. The proceeds were used principally to pay off the $8.3 million first mortgage on the property.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loss on sale of this property is calculated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8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0" w:type="dxa"/>
            <w:vAlign w:val="bottom"/>
          </w:tcPr>
          <w:p>
            <w:pPr>
              <w:jc w:val="right"/>
              <w:ind w:right="1161"/>
              <w:spacing w:after="0"/>
              <w:rPr>
                <w:sz w:val="20"/>
                <w:szCs w:val="20"/>
                <w:color w:val="auto"/>
              </w:rPr>
            </w:pPr>
            <w:r>
              <w:rPr>
                <w:rFonts w:ascii="Times New Roman" w:cs="Times New Roman" w:eastAsia="Times New Roman" w:hAnsi="Times New Roman"/>
                <w:sz w:val="10"/>
                <w:szCs w:val="10"/>
                <w:b w:val="1"/>
                <w:bCs w:val="1"/>
                <w:color w:val="auto"/>
              </w:rPr>
              <w:t>March 31</w:t>
            </w:r>
          </w:p>
        </w:tc>
      </w:tr>
      <w:tr>
        <w:trPr>
          <w:trHeight w:val="128"/>
        </w:trPr>
        <w:tc>
          <w:tcPr>
            <w:tcW w:w="8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2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jc w:val="right"/>
              <w:ind w:right="1261"/>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9"/>
        </w:trPr>
        <w:tc>
          <w:tcPr>
            <w:tcW w:w="82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Sales price</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2200" w:type="dxa"/>
            <w:vAlign w:val="bottom"/>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10,000</w:t>
            </w:r>
          </w:p>
        </w:tc>
      </w:tr>
      <w:tr>
        <w:trPr>
          <w:trHeight w:val="130"/>
        </w:trPr>
        <w:tc>
          <w:tcPr>
            <w:tcW w:w="8260" w:type="dxa"/>
            <w:vAlign w:val="bottom"/>
            <w:tcBorders>
              <w:bottom w:val="single" w:sz="8" w:color="CCEEFF"/>
            </w:tcBorders>
          </w:tcPr>
          <w:p>
            <w:pPr>
              <w:spacing w:after="0" w:line="130" w:lineRule="exact"/>
              <w:rPr>
                <w:sz w:val="20"/>
                <w:szCs w:val="20"/>
                <w:color w:val="auto"/>
              </w:rPr>
            </w:pPr>
            <w:r>
              <w:rPr>
                <w:rFonts w:ascii="Times New Roman" w:cs="Times New Roman" w:eastAsia="Times New Roman" w:hAnsi="Times New Roman"/>
                <w:sz w:val="12"/>
                <w:szCs w:val="12"/>
                <w:color w:val="auto"/>
              </w:rPr>
              <w:t>Net book value</w:t>
            </w:r>
          </w:p>
        </w:tc>
        <w:tc>
          <w:tcPr>
            <w:tcW w:w="2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(10,800)</w:t>
            </w:r>
          </w:p>
        </w:tc>
      </w:tr>
      <w:tr>
        <w:trPr>
          <w:trHeight w:val="120"/>
        </w:trPr>
        <w:tc>
          <w:tcPr>
            <w:tcW w:w="826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Loss on sale, gross of direct costs</w:t>
            </w: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(800)</w:t>
            </w:r>
          </w:p>
        </w:tc>
      </w:tr>
      <w:tr>
        <w:trPr>
          <w:trHeight w:val="130"/>
        </w:trPr>
        <w:tc>
          <w:tcPr>
            <w:tcW w:w="8260" w:type="dxa"/>
            <w:vAlign w:val="bottom"/>
            <w:tcBorders>
              <w:bottom w:val="single" w:sz="8" w:color="CCEEFF"/>
            </w:tcBorders>
          </w:tcPr>
          <w:p>
            <w:pPr>
              <w:spacing w:after="0" w:line="130" w:lineRule="exact"/>
              <w:rPr>
                <w:sz w:val="20"/>
                <w:szCs w:val="20"/>
                <w:color w:val="auto"/>
              </w:rPr>
            </w:pPr>
            <w:r>
              <w:rPr>
                <w:rFonts w:ascii="Times New Roman" w:cs="Times New Roman" w:eastAsia="Times New Roman" w:hAnsi="Times New Roman"/>
                <w:sz w:val="12"/>
                <w:szCs w:val="12"/>
                <w:color w:val="auto"/>
              </w:rPr>
              <w:t>Direct sale costs incurred</w:t>
            </w:r>
          </w:p>
        </w:tc>
        <w:tc>
          <w:tcPr>
            <w:tcW w:w="2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(325)</w:t>
            </w:r>
          </w:p>
        </w:tc>
      </w:tr>
      <w:tr>
        <w:trPr>
          <w:trHeight w:val="120"/>
        </w:trPr>
        <w:tc>
          <w:tcPr>
            <w:tcW w:w="8260" w:type="dxa"/>
            <w:vAlign w:val="bottom"/>
            <w:tcBorders>
              <w:bottom w:val="single" w:sz="8" w:color="CCEEFF"/>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Loss on sale, net of direct costs</w:t>
            </w:r>
          </w:p>
        </w:tc>
        <w:tc>
          <w:tcPr>
            <w:tcW w:w="20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ind w:right="52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220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(1,125)</w:t>
            </w: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Disposal Groups Held for Sale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Newberry Yard, Williamsport, Pennsylvania</w:t>
      </w:r>
    </w:p>
    <w:p>
      <w:pPr>
        <w:spacing w:after="0" w:line="1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2"/>
          <w:szCs w:val="12"/>
          <w:color w:val="auto"/>
        </w:rPr>
        <w:t>In June 2023, we classified our industrial property at Newberry Yard, Williamsport, Pennsylvania, as held for sale at the lower of cost and fair value less costs to sell. The property is part of our historic railroad operations, consisting of land and an industrial building, and certain rail bed improvements. No adjustments to the book value of the assets contained within this disposal group were required. Sales efforts continue, and the property continues to meet the ASC 360 held for sale criteria.</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8 – Leases</w:t>
      </w:r>
    </w:p>
    <w:p>
      <w:pPr>
        <w:spacing w:after="0" w:line="13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2"/>
          <w:szCs w:val="12"/>
          <w:color w:val="auto"/>
        </w:rPr>
        <w:t>In all leases, whether we are the lessor or lessee, we define lease term as the non-cancellable term of the lease plus any renewals covered by renewal options that are reasonably certain of exercise based on our assessment of economic factors relevant to the lessee. The non-cancellable term of the lease commences on the date the lessor makes the underlying property in the lease available to the lessee, irrespective of when lease payments begin under the contract.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As Lessee</w:t>
      </w:r>
    </w:p>
    <w:p>
      <w:pPr>
        <w:spacing w:after="0" w:line="13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2"/>
          <w:szCs w:val="12"/>
          <w:color w:val="auto"/>
        </w:rPr>
        <w:t>We have operating leases for certain cinemas, and finance leases for certain equipment assets. Our leases have remaining lease terms of 1 to 25 years, with certain leases having options to extend up to a further 20 years. Lease payments for our cinema operating leases consist of fixed base rent, and for certain leases, variable lease payments consisting of contracted percentages of revenue, changes in the relevant CPI, and/or other contracted financial metrics.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387"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color w:val="auto"/>
        </w:rPr>
        <w:t>The components of lease expense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gridSpan w:val="5"/>
          </w:tcPr>
          <w:p>
            <w:pPr>
              <w:jc w:val="center"/>
              <w:ind w:left="822"/>
              <w:spacing w:after="0"/>
              <w:rPr>
                <w:sz w:val="20"/>
                <w:szCs w:val="20"/>
                <w:color w:val="auto"/>
              </w:rPr>
            </w:pPr>
            <w:r>
              <w:rPr>
                <w:rFonts w:ascii="Times New Roman" w:cs="Times New Roman" w:eastAsia="Times New Roman" w:hAnsi="Times New Roman"/>
                <w:sz w:val="10"/>
                <w:szCs w:val="10"/>
                <w:b w:val="1"/>
                <w:bCs w:val="1"/>
                <w:color w:val="auto"/>
                <w:w w:val="97"/>
              </w:rPr>
              <w:t>Quarter Ended</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80" w:type="dxa"/>
            <w:vAlign w:val="bottom"/>
            <w:gridSpan w:val="5"/>
          </w:tcPr>
          <w:p>
            <w:pPr>
              <w:jc w:val="right"/>
              <w:ind w:right="98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5"/>
          </w:tcPr>
          <w:p>
            <w:pPr>
              <w:jc w:val="center"/>
              <w:ind w:left="822"/>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4"/>
          </w:tcPr>
          <w:p>
            <w:pPr>
              <w:jc w:val="right"/>
              <w:ind w:right="11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0" w:type="dxa"/>
            <w:vAlign w:val="bottom"/>
          </w:tcPr>
          <w:p>
            <w:pPr>
              <w:spacing w:after="0"/>
              <w:rPr>
                <w:sz w:val="1"/>
                <w:szCs w:val="1"/>
                <w:color w:val="auto"/>
              </w:rPr>
            </w:pPr>
          </w:p>
        </w:tc>
      </w:tr>
      <w:tr>
        <w:trPr>
          <w:trHeight w:val="120"/>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1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right"/>
              <w:ind w:right="506"/>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2024</w:t>
            </w:r>
          </w:p>
        </w:tc>
        <w:tc>
          <w:tcPr>
            <w:tcW w:w="0" w:type="dxa"/>
            <w:vAlign w:val="bottom"/>
          </w:tcPr>
          <w:p>
            <w:pPr>
              <w:spacing w:after="0"/>
              <w:rPr>
                <w:sz w:val="1"/>
                <w:szCs w:val="1"/>
                <w:color w:val="auto"/>
              </w:rPr>
            </w:pPr>
          </w:p>
        </w:tc>
      </w:tr>
      <w:tr>
        <w:trPr>
          <w:trHeight w:val="129"/>
        </w:trPr>
        <w:tc>
          <w:tcPr>
            <w:tcW w:w="52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Lease cost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20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auto"/>
              </w:rPr>
              <w:t>Finance lease cost: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20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2"/>
                <w:szCs w:val="12"/>
                <w:color w:val="auto"/>
              </w:rPr>
              <w:t>Amortization of right-of-use assets</w:t>
            </w:r>
          </w:p>
        </w:tc>
        <w:tc>
          <w:tcPr>
            <w:tcW w:w="300" w:type="dxa"/>
            <w:vAlign w:val="bottom"/>
            <w:gridSpan w:val="2"/>
            <w:shd w:val="clear" w:color="auto" w:fill="CCEEFF"/>
          </w:tcPr>
          <w:p>
            <w:pPr>
              <w:jc w:val="right"/>
              <w:ind w:right="23"/>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2"/>
              <w:spacing w:after="0" w:line="130" w:lineRule="exact"/>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03"/>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10</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31</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30"/>
        </w:trPr>
        <w:tc>
          <w:tcPr>
            <w:tcW w:w="5200" w:type="dxa"/>
            <w:vAlign w:val="bottom"/>
          </w:tcPr>
          <w:p>
            <w:pPr>
              <w:ind w:left="140"/>
              <w:spacing w:after="0" w:line="130" w:lineRule="exact"/>
              <w:rPr>
                <w:sz w:val="20"/>
                <w:szCs w:val="20"/>
                <w:color w:val="auto"/>
              </w:rPr>
            </w:pPr>
            <w:r>
              <w:rPr>
                <w:rFonts w:ascii="Times New Roman" w:cs="Times New Roman" w:eastAsia="Times New Roman" w:hAnsi="Times New Roman"/>
                <w:sz w:val="12"/>
                <w:szCs w:val="12"/>
                <w:color w:val="auto"/>
              </w:rPr>
              <w:t>Interest on lease liabilities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right"/>
              <w:ind w:right="14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1</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30"/>
        </w:trPr>
        <w:tc>
          <w:tcPr>
            <w:tcW w:w="5200" w:type="dxa"/>
            <w:vAlign w:val="bottom"/>
            <w:shd w:val="clear" w:color="auto" w:fill="CCEEFF"/>
          </w:tcPr>
          <w:p>
            <w:pPr>
              <w:ind w:left="60"/>
              <w:spacing w:after="0" w:line="130" w:lineRule="exact"/>
              <w:rPr>
                <w:sz w:val="20"/>
                <w:szCs w:val="20"/>
                <w:color w:val="auto"/>
              </w:rPr>
            </w:pPr>
            <w:r>
              <w:rPr>
                <w:rFonts w:ascii="Times New Roman" w:cs="Times New Roman" w:eastAsia="Times New Roman" w:hAnsi="Times New Roman"/>
                <w:sz w:val="12"/>
                <w:szCs w:val="12"/>
                <w:color w:val="auto"/>
              </w:rPr>
              <w:t>Operating lease cost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2"/>
              <w:spacing w:after="0" w:line="130" w:lineRule="exact"/>
              <w:rPr>
                <w:sz w:val="20"/>
                <w:szCs w:val="20"/>
                <w:color w:val="auto"/>
              </w:rPr>
            </w:pPr>
            <w:r>
              <w:rPr>
                <w:rFonts w:ascii="Times New Roman" w:cs="Times New Roman" w:eastAsia="Times New Roman" w:hAnsi="Times New Roman"/>
                <w:sz w:val="12"/>
                <w:szCs w:val="12"/>
                <w:color w:val="auto"/>
              </w:rPr>
              <w:t>7,206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7,585</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21,301</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23,723</w:t>
            </w:r>
          </w:p>
        </w:tc>
        <w:tc>
          <w:tcPr>
            <w:tcW w:w="0" w:type="dxa"/>
            <w:vAlign w:val="bottom"/>
          </w:tcPr>
          <w:p>
            <w:pPr>
              <w:spacing w:after="0"/>
              <w:rPr>
                <w:sz w:val="1"/>
                <w:szCs w:val="1"/>
                <w:color w:val="auto"/>
              </w:rPr>
            </w:pPr>
          </w:p>
        </w:tc>
      </w:tr>
      <w:tr>
        <w:trPr>
          <w:trHeight w:val="130"/>
        </w:trPr>
        <w:tc>
          <w:tcPr>
            <w:tcW w:w="520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auto"/>
              </w:rPr>
              <w:t>Variable lease cost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734</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3"/>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(14)</w:t>
            </w:r>
          </w:p>
        </w:tc>
        <w:tc>
          <w:tcPr>
            <w:tcW w:w="120" w:type="dxa"/>
            <w:vAlign w:val="bottom"/>
          </w:tcPr>
          <w:p>
            <w:pPr>
              <w:spacing w:after="0"/>
              <w:rPr>
                <w:sz w:val="11"/>
                <w:szCs w:val="11"/>
                <w:color w:val="auto"/>
              </w:rPr>
            </w:pPr>
          </w:p>
        </w:tc>
        <w:tc>
          <w:tcPr>
            <w:tcW w:w="12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2,394</w:t>
            </w:r>
          </w:p>
        </w:tc>
        <w:tc>
          <w:tcPr>
            <w:tcW w:w="0" w:type="dxa"/>
            <w:vAlign w:val="bottom"/>
          </w:tcPr>
          <w:p>
            <w:pPr>
              <w:spacing w:after="0"/>
              <w:rPr>
                <w:sz w:val="1"/>
                <w:szCs w:val="1"/>
                <w:color w:val="auto"/>
              </w:rPr>
            </w:pPr>
          </w:p>
        </w:tc>
      </w:tr>
      <w:tr>
        <w:trPr>
          <w:trHeight w:val="140"/>
        </w:trPr>
        <w:tc>
          <w:tcPr>
            <w:tcW w:w="5200" w:type="dxa"/>
            <w:vAlign w:val="bottom"/>
            <w:tcBorders>
              <w:top w:val="single" w:sz="8" w:color="CCEEFF"/>
              <w:bottom w:val="single" w:sz="8" w:color="CCEEFF"/>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Total lease cost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7,202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8,330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21,320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26,152</w:t>
            </w:r>
          </w:p>
        </w:tc>
        <w:tc>
          <w:tcPr>
            <w:tcW w:w="0" w:type="dxa"/>
            <w:vAlign w:val="bottom"/>
          </w:tcPr>
          <w:p>
            <w:pPr>
              <w:spacing w:after="0"/>
              <w:rPr>
                <w:sz w:val="1"/>
                <w:szCs w:val="1"/>
                <w:color w:val="auto"/>
              </w:rPr>
            </w:pPr>
          </w:p>
        </w:tc>
      </w:tr>
      <w:tr>
        <w:trPr>
          <w:trHeight w:val="248"/>
        </w:trPr>
        <w:tc>
          <w:tcPr>
            <w:tcW w:w="5200" w:type="dxa"/>
            <w:vAlign w:val="bottom"/>
          </w:tcPr>
          <w:p>
            <w:pPr>
              <w:spacing w:after="0"/>
              <w:rPr>
                <w:sz w:val="20"/>
                <w:szCs w:val="20"/>
                <w:color w:val="auto"/>
              </w:rPr>
            </w:pPr>
            <w:r>
              <w:rPr>
                <w:rFonts w:ascii="Times New Roman" w:cs="Times New Roman" w:eastAsia="Times New Roman" w:hAnsi="Times New Roman"/>
                <w:sz w:val="12"/>
                <w:szCs w:val="12"/>
                <w:color w:val="auto"/>
              </w:rPr>
              <w:t>Supplemental cash flow information related to leases is as follows: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060" w:type="dxa"/>
            <w:vAlign w:val="bottom"/>
            <w:tcBorders>
              <w:bottom w:val="single" w:sz="8" w:color="auto"/>
            </w:tcBorders>
            <w:gridSpan w:val="2"/>
          </w:tcPr>
          <w:p>
            <w:pPr>
              <w:jc w:val="center"/>
              <w:ind w:left="766"/>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2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0" w:type="dxa"/>
            <w:vAlign w:val="bottom"/>
          </w:tcPr>
          <w:p>
            <w:pPr>
              <w:spacing w:after="0"/>
              <w:rPr>
                <w:sz w:val="1"/>
                <w:szCs w:val="1"/>
                <w:color w:val="auto"/>
              </w:rPr>
            </w:pPr>
          </w:p>
        </w:tc>
      </w:tr>
      <w:tr>
        <w:trPr>
          <w:trHeight w:val="129"/>
        </w:trPr>
        <w:tc>
          <w:tcPr>
            <w:tcW w:w="52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Cash flows relating to lease cost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20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auto"/>
              </w:rPr>
              <w:t>Cash paid for amounts included in the measurement of lease liabilities: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20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2"/>
                <w:szCs w:val="12"/>
                <w:color w:val="auto"/>
              </w:rPr>
              <w:t>Operating cash flows for finance leases</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766"/>
              <w:spacing w:after="0" w:line="130"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33</w:t>
            </w:r>
          </w:p>
        </w:tc>
        <w:tc>
          <w:tcPr>
            <w:tcW w:w="540" w:type="dxa"/>
            <w:vAlign w:val="bottom"/>
            <w:gridSpan w:val="2"/>
            <w:shd w:val="clear" w:color="auto" w:fill="CCEEFF"/>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33</w:t>
            </w:r>
          </w:p>
        </w:tc>
        <w:tc>
          <w:tcPr>
            <w:tcW w:w="0" w:type="dxa"/>
            <w:vAlign w:val="bottom"/>
          </w:tcPr>
          <w:p>
            <w:pPr>
              <w:spacing w:after="0"/>
              <w:rPr>
                <w:sz w:val="1"/>
                <w:szCs w:val="1"/>
                <w:color w:val="auto"/>
              </w:rPr>
            </w:pPr>
          </w:p>
        </w:tc>
      </w:tr>
      <w:tr>
        <w:trPr>
          <w:trHeight w:val="130"/>
        </w:trPr>
        <w:tc>
          <w:tcPr>
            <w:tcW w:w="5200" w:type="dxa"/>
            <w:vAlign w:val="bottom"/>
          </w:tcPr>
          <w:p>
            <w:pPr>
              <w:ind w:left="140"/>
              <w:spacing w:after="0" w:line="130" w:lineRule="exact"/>
              <w:rPr>
                <w:sz w:val="20"/>
                <w:szCs w:val="20"/>
                <w:color w:val="auto"/>
              </w:rPr>
            </w:pPr>
            <w:r>
              <w:rPr>
                <w:rFonts w:ascii="Times New Roman" w:cs="Times New Roman" w:eastAsia="Times New Roman" w:hAnsi="Times New Roman"/>
                <w:sz w:val="12"/>
                <w:szCs w:val="12"/>
                <w:color w:val="auto"/>
              </w:rPr>
              <w:t>Operating cash flows for operating leases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17,130</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19,455</w:t>
            </w:r>
          </w:p>
        </w:tc>
        <w:tc>
          <w:tcPr>
            <w:tcW w:w="0" w:type="dxa"/>
            <w:vAlign w:val="bottom"/>
          </w:tcPr>
          <w:p>
            <w:pPr>
              <w:spacing w:after="0"/>
              <w:rPr>
                <w:sz w:val="1"/>
                <w:szCs w:val="1"/>
                <w:color w:val="auto"/>
              </w:rPr>
            </w:pPr>
          </w:p>
        </w:tc>
      </w:tr>
      <w:tr>
        <w:trPr>
          <w:trHeight w:val="130"/>
        </w:trPr>
        <w:tc>
          <w:tcPr>
            <w:tcW w:w="5200" w:type="dxa"/>
            <w:vAlign w:val="bottom"/>
            <w:shd w:val="clear" w:color="auto" w:fill="CCEEFF"/>
          </w:tcPr>
          <w:p>
            <w:pPr>
              <w:ind w:left="60"/>
              <w:spacing w:after="0" w:line="130" w:lineRule="exact"/>
              <w:rPr>
                <w:sz w:val="20"/>
                <w:szCs w:val="20"/>
                <w:color w:val="auto"/>
              </w:rPr>
            </w:pPr>
            <w:r>
              <w:rPr>
                <w:rFonts w:ascii="Times New Roman" w:cs="Times New Roman" w:eastAsia="Times New Roman" w:hAnsi="Times New Roman"/>
                <w:sz w:val="12"/>
                <w:szCs w:val="12"/>
                <w:color w:val="auto"/>
              </w:rPr>
              <w:t>Right-of-use assets obtained in exchange for new operating lease liabilities</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8,231</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3,866</w:t>
            </w:r>
          </w:p>
        </w:tc>
        <w:tc>
          <w:tcPr>
            <w:tcW w:w="0" w:type="dxa"/>
            <w:vAlign w:val="bottom"/>
          </w:tcPr>
          <w:p>
            <w:pPr>
              <w:spacing w:after="0"/>
              <w:rPr>
                <w:sz w:val="1"/>
                <w:szCs w:val="1"/>
                <w:color w:val="auto"/>
              </w:rPr>
            </w:pPr>
          </w:p>
        </w:tc>
      </w:tr>
      <w:tr>
        <w:trPr>
          <w:trHeight w:val="269"/>
        </w:trPr>
        <w:tc>
          <w:tcPr>
            <w:tcW w:w="5200" w:type="dxa"/>
            <w:vAlign w:val="bottom"/>
          </w:tcPr>
          <w:p>
            <w:pPr>
              <w:spacing w:after="0"/>
              <w:rPr>
                <w:sz w:val="20"/>
                <w:szCs w:val="20"/>
                <w:color w:val="auto"/>
              </w:rPr>
            </w:pPr>
            <w:r>
              <w:rPr>
                <w:rFonts w:ascii="Times New Roman" w:cs="Times New Roman" w:eastAsia="Times New Roman" w:hAnsi="Times New Roman"/>
                <w:sz w:val="12"/>
                <w:szCs w:val="12"/>
                <w:color w:val="auto"/>
              </w:rPr>
              <w:t>Supplemental balance sheet information related to leases is as follows:</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3"/>
          </w:tcPr>
          <w:p>
            <w:pPr>
              <w:jc w:val="center"/>
              <w:ind w:left="486"/>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0" w:type="dxa"/>
            <w:vAlign w:val="bottom"/>
          </w:tcPr>
          <w:p>
            <w:pPr>
              <w:spacing w:after="0"/>
              <w:rPr>
                <w:sz w:val="1"/>
                <w:szCs w:val="1"/>
                <w:color w:val="auto"/>
              </w:rPr>
            </w:pPr>
          </w:p>
        </w:tc>
      </w:tr>
      <w:tr>
        <w:trPr>
          <w:trHeight w:val="128"/>
        </w:trPr>
        <w:tc>
          <w:tcPr>
            <w:tcW w:w="520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left="881"/>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0" w:type="dxa"/>
            <w:vAlign w:val="bottom"/>
          </w:tcPr>
          <w:p>
            <w:pPr>
              <w:spacing w:after="0"/>
              <w:rPr>
                <w:sz w:val="1"/>
                <w:szCs w:val="1"/>
                <w:color w:val="auto"/>
              </w:rPr>
            </w:pPr>
          </w:p>
        </w:tc>
      </w:tr>
      <w:tr>
        <w:trPr>
          <w:trHeight w:val="129"/>
        </w:trPr>
        <w:tc>
          <w:tcPr>
            <w:tcW w:w="52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Operating leases</w:t>
            </w:r>
          </w:p>
        </w:tc>
        <w:tc>
          <w:tcPr>
            <w:tcW w:w="1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20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b w:val="1"/>
                <w:bCs w:val="1"/>
                <w:color w:val="auto"/>
              </w:rPr>
              <w:t>Operating lease right-of-use assets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766"/>
              <w:spacing w:after="0" w:line="130" w:lineRule="exact"/>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161,400</w:t>
            </w:r>
          </w:p>
        </w:tc>
        <w:tc>
          <w:tcPr>
            <w:tcW w:w="54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160,873</w:t>
            </w:r>
          </w:p>
        </w:tc>
        <w:tc>
          <w:tcPr>
            <w:tcW w:w="0" w:type="dxa"/>
            <w:vAlign w:val="bottom"/>
          </w:tcPr>
          <w:p>
            <w:pPr>
              <w:spacing w:after="0"/>
              <w:rPr>
                <w:sz w:val="1"/>
                <w:szCs w:val="1"/>
                <w:color w:val="auto"/>
              </w:rPr>
            </w:pPr>
          </w:p>
        </w:tc>
      </w:tr>
      <w:tr>
        <w:trPr>
          <w:trHeight w:val="120"/>
        </w:trPr>
        <w:tc>
          <w:tcPr>
            <w:tcW w:w="5200" w:type="dxa"/>
            <w:vAlign w:val="bottom"/>
            <w:tcBorders>
              <w:top w:val="single" w:sz="8" w:color="CCEEFF"/>
            </w:tcBorders>
            <w:shd w:val="clear" w:color="auto" w:fill="CCEEFF"/>
          </w:tcPr>
          <w:p>
            <w:pPr>
              <w:ind w:left="60"/>
              <w:spacing w:after="0" w:line="120" w:lineRule="exact"/>
              <w:rPr>
                <w:sz w:val="20"/>
                <w:szCs w:val="20"/>
                <w:color w:val="auto"/>
              </w:rPr>
            </w:pPr>
            <w:r>
              <w:rPr>
                <w:rFonts w:ascii="Times New Roman" w:cs="Times New Roman" w:eastAsia="Times New Roman" w:hAnsi="Times New Roman"/>
                <w:sz w:val="12"/>
                <w:szCs w:val="12"/>
                <w:color w:val="auto"/>
              </w:rPr>
              <w:t>Operating lease liabilities - current portion</w:t>
            </w: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20,176</w:t>
            </w:r>
          </w:p>
        </w:tc>
        <w:tc>
          <w:tcPr>
            <w:tcW w:w="2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20,747</w:t>
            </w:r>
          </w:p>
        </w:tc>
        <w:tc>
          <w:tcPr>
            <w:tcW w:w="0" w:type="dxa"/>
            <w:vAlign w:val="bottom"/>
          </w:tcPr>
          <w:p>
            <w:pPr>
              <w:spacing w:after="0"/>
              <w:rPr>
                <w:sz w:val="1"/>
                <w:szCs w:val="1"/>
                <w:color w:val="auto"/>
              </w:rPr>
            </w:pPr>
          </w:p>
        </w:tc>
      </w:tr>
      <w:tr>
        <w:trPr>
          <w:trHeight w:val="130"/>
        </w:trPr>
        <w:tc>
          <w:tcPr>
            <w:tcW w:w="5200" w:type="dxa"/>
            <w:vAlign w:val="bottom"/>
            <w:tcBorders>
              <w:bottom w:val="single" w:sz="8" w:color="CCEEFF"/>
            </w:tcBorders>
          </w:tcPr>
          <w:p>
            <w:pPr>
              <w:ind w:left="60"/>
              <w:spacing w:after="0" w:line="130" w:lineRule="exact"/>
              <w:rPr>
                <w:sz w:val="20"/>
                <w:szCs w:val="20"/>
                <w:color w:val="auto"/>
              </w:rPr>
            </w:pPr>
            <w:r>
              <w:rPr>
                <w:rFonts w:ascii="Times New Roman" w:cs="Times New Roman" w:eastAsia="Times New Roman" w:hAnsi="Times New Roman"/>
                <w:sz w:val="12"/>
                <w:szCs w:val="12"/>
                <w:color w:val="auto"/>
              </w:rPr>
              <w:t>Operating lease liabilities - non-current portion</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161,593</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161,702</w:t>
            </w:r>
          </w:p>
        </w:tc>
        <w:tc>
          <w:tcPr>
            <w:tcW w:w="0" w:type="dxa"/>
            <w:vAlign w:val="bottom"/>
          </w:tcPr>
          <w:p>
            <w:pPr>
              <w:spacing w:after="0"/>
              <w:rPr>
                <w:sz w:val="1"/>
                <w:szCs w:val="1"/>
                <w:color w:val="auto"/>
              </w:rPr>
            </w:pPr>
          </w:p>
        </w:tc>
      </w:tr>
      <w:tr>
        <w:trPr>
          <w:trHeight w:val="140"/>
        </w:trPr>
        <w:tc>
          <w:tcPr>
            <w:tcW w:w="5200" w:type="dxa"/>
            <w:vAlign w:val="bottom"/>
            <w:tcBorders>
              <w:bottom w:val="single" w:sz="8" w:color="CCEEFF"/>
            </w:tcBorders>
            <w:shd w:val="clear" w:color="auto" w:fill="CCEEFF"/>
          </w:tcPr>
          <w:p>
            <w:pPr>
              <w:ind w:left="60"/>
              <w:spacing w:after="0" w:line="120" w:lineRule="exact"/>
              <w:rPr>
                <w:sz w:val="20"/>
                <w:szCs w:val="20"/>
                <w:color w:val="auto"/>
              </w:rPr>
            </w:pPr>
            <w:r>
              <w:rPr>
                <w:rFonts w:ascii="Times New Roman" w:cs="Times New Roman" w:eastAsia="Times New Roman" w:hAnsi="Times New Roman"/>
                <w:sz w:val="12"/>
                <w:szCs w:val="12"/>
                <w:b w:val="1"/>
                <w:bCs w:val="1"/>
                <w:color w:val="auto"/>
              </w:rPr>
              <w:t>Total operating lease liabilities</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766"/>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181,769</w:t>
            </w:r>
          </w:p>
        </w:tc>
        <w:tc>
          <w:tcPr>
            <w:tcW w:w="2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80"/>
              <w:spacing w:after="0" w:line="120"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182,449</w:t>
            </w:r>
          </w:p>
        </w:tc>
        <w:tc>
          <w:tcPr>
            <w:tcW w:w="0" w:type="dxa"/>
            <w:vAlign w:val="bottom"/>
          </w:tcPr>
          <w:p>
            <w:pPr>
              <w:spacing w:after="0"/>
              <w:rPr>
                <w:sz w:val="1"/>
                <w:szCs w:val="1"/>
                <w:color w:val="auto"/>
              </w:rPr>
            </w:pPr>
          </w:p>
        </w:tc>
      </w:tr>
      <w:tr>
        <w:trPr>
          <w:trHeight w:val="109"/>
        </w:trPr>
        <w:tc>
          <w:tcPr>
            <w:tcW w:w="520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Finance leases</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200" w:type="dxa"/>
            <w:vAlign w:val="bottom"/>
            <w:shd w:val="clear" w:color="auto" w:fill="CCEEFF"/>
          </w:tcPr>
          <w:p>
            <w:pPr>
              <w:ind w:left="60"/>
              <w:spacing w:after="0" w:line="130" w:lineRule="exact"/>
              <w:rPr>
                <w:sz w:val="20"/>
                <w:szCs w:val="20"/>
                <w:color w:val="auto"/>
              </w:rPr>
            </w:pPr>
            <w:r>
              <w:rPr>
                <w:rFonts w:ascii="Times New Roman" w:cs="Times New Roman" w:eastAsia="Times New Roman" w:hAnsi="Times New Roman"/>
                <w:sz w:val="12"/>
                <w:szCs w:val="12"/>
                <w:color w:val="auto"/>
              </w:rPr>
              <w:t>Property plant and equipment, gross</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224</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217</w:t>
            </w:r>
          </w:p>
        </w:tc>
        <w:tc>
          <w:tcPr>
            <w:tcW w:w="0" w:type="dxa"/>
            <w:vAlign w:val="bottom"/>
          </w:tcPr>
          <w:p>
            <w:pPr>
              <w:spacing w:after="0"/>
              <w:rPr>
                <w:sz w:val="1"/>
                <w:szCs w:val="1"/>
                <w:color w:val="auto"/>
              </w:rPr>
            </w:pPr>
          </w:p>
        </w:tc>
      </w:tr>
      <w:tr>
        <w:trPr>
          <w:trHeight w:val="130"/>
        </w:trPr>
        <w:tc>
          <w:tcPr>
            <w:tcW w:w="5200" w:type="dxa"/>
            <w:vAlign w:val="bottom"/>
            <w:tcBorders>
              <w:bottom w:val="single" w:sz="8" w:color="CCEEFF"/>
            </w:tcBorders>
          </w:tcPr>
          <w:p>
            <w:pPr>
              <w:ind w:left="60"/>
              <w:spacing w:after="0" w:line="130" w:lineRule="exact"/>
              <w:rPr>
                <w:sz w:val="20"/>
                <w:szCs w:val="20"/>
                <w:color w:val="auto"/>
              </w:rPr>
            </w:pPr>
            <w:r>
              <w:rPr>
                <w:rFonts w:ascii="Times New Roman" w:cs="Times New Roman" w:eastAsia="Times New Roman" w:hAnsi="Times New Roman"/>
                <w:sz w:val="12"/>
                <w:szCs w:val="12"/>
                <w:color w:val="auto"/>
              </w:rPr>
              <w:t>Accumulated depreciation</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(214)</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(175)</w:t>
            </w:r>
          </w:p>
        </w:tc>
        <w:tc>
          <w:tcPr>
            <w:tcW w:w="0" w:type="dxa"/>
            <w:vAlign w:val="bottom"/>
          </w:tcPr>
          <w:p>
            <w:pPr>
              <w:spacing w:after="0"/>
              <w:rPr>
                <w:sz w:val="1"/>
                <w:szCs w:val="1"/>
                <w:color w:val="auto"/>
              </w:rPr>
            </w:pPr>
          </w:p>
        </w:tc>
      </w:tr>
      <w:tr>
        <w:trPr>
          <w:trHeight w:val="140"/>
        </w:trPr>
        <w:tc>
          <w:tcPr>
            <w:tcW w:w="5200" w:type="dxa"/>
            <w:vAlign w:val="bottom"/>
            <w:tcBorders>
              <w:bottom w:val="single" w:sz="8" w:color="CCEEFF"/>
            </w:tcBorders>
            <w:shd w:val="clear" w:color="auto" w:fill="CCEEFF"/>
          </w:tcPr>
          <w:p>
            <w:pPr>
              <w:ind w:left="60"/>
              <w:spacing w:after="0" w:line="120" w:lineRule="exact"/>
              <w:rPr>
                <w:sz w:val="20"/>
                <w:szCs w:val="20"/>
                <w:color w:val="auto"/>
              </w:rPr>
            </w:pPr>
            <w:r>
              <w:rPr>
                <w:rFonts w:ascii="Times New Roman" w:cs="Times New Roman" w:eastAsia="Times New Roman" w:hAnsi="Times New Roman"/>
                <w:sz w:val="12"/>
                <w:szCs w:val="12"/>
                <w:b w:val="1"/>
                <w:bCs w:val="1"/>
                <w:color w:val="auto"/>
              </w:rPr>
              <w:t>Property plant and equipment, net</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766"/>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10</w:t>
            </w:r>
          </w:p>
        </w:tc>
        <w:tc>
          <w:tcPr>
            <w:tcW w:w="2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80"/>
              <w:spacing w:after="0" w:line="120"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42</w:t>
            </w:r>
          </w:p>
        </w:tc>
        <w:tc>
          <w:tcPr>
            <w:tcW w:w="0" w:type="dxa"/>
            <w:vAlign w:val="bottom"/>
          </w:tcPr>
          <w:p>
            <w:pPr>
              <w:spacing w:after="0"/>
              <w:rPr>
                <w:sz w:val="1"/>
                <w:szCs w:val="1"/>
                <w:color w:val="auto"/>
              </w:rPr>
            </w:pPr>
          </w:p>
        </w:tc>
      </w:tr>
      <w:tr>
        <w:trPr>
          <w:trHeight w:val="109"/>
        </w:trPr>
        <w:tc>
          <w:tcPr>
            <w:tcW w:w="520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color w:val="auto"/>
              </w:rPr>
              <w:t>Other current liabilities</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11</w:t>
            </w: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43</w:t>
            </w:r>
          </w:p>
        </w:tc>
        <w:tc>
          <w:tcPr>
            <w:tcW w:w="0" w:type="dxa"/>
            <w:vAlign w:val="bottom"/>
          </w:tcPr>
          <w:p>
            <w:pPr>
              <w:spacing w:after="0"/>
              <w:rPr>
                <w:sz w:val="1"/>
                <w:szCs w:val="1"/>
                <w:color w:val="auto"/>
              </w:rPr>
            </w:pPr>
          </w:p>
        </w:tc>
      </w:tr>
      <w:tr>
        <w:trPr>
          <w:trHeight w:val="130"/>
        </w:trPr>
        <w:tc>
          <w:tcPr>
            <w:tcW w:w="5200" w:type="dxa"/>
            <w:vAlign w:val="bottom"/>
            <w:shd w:val="clear" w:color="auto" w:fill="CCEEFF"/>
          </w:tcPr>
          <w:p>
            <w:pPr>
              <w:ind w:left="60"/>
              <w:spacing w:after="0" w:line="130" w:lineRule="exact"/>
              <w:rPr>
                <w:sz w:val="20"/>
                <w:szCs w:val="20"/>
                <w:color w:val="auto"/>
              </w:rPr>
            </w:pPr>
            <w:r>
              <w:rPr>
                <w:rFonts w:ascii="Times New Roman" w:cs="Times New Roman" w:eastAsia="Times New Roman" w:hAnsi="Times New Roman"/>
                <w:sz w:val="12"/>
                <w:szCs w:val="12"/>
                <w:color w:val="auto"/>
              </w:rPr>
              <w:t>Other long-term liabilities</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0"/>
        </w:trPr>
        <w:tc>
          <w:tcPr>
            <w:tcW w:w="5200" w:type="dxa"/>
            <w:vAlign w:val="bottom"/>
            <w:tcBorders>
              <w:bottom w:val="single" w:sz="8" w:color="CCEEFF"/>
            </w:tcBorders>
          </w:tcPr>
          <w:p>
            <w:pPr>
              <w:ind w:left="60"/>
              <w:spacing w:after="0" w:line="120" w:lineRule="exact"/>
              <w:rPr>
                <w:sz w:val="20"/>
                <w:szCs w:val="20"/>
                <w:color w:val="auto"/>
              </w:rPr>
            </w:pPr>
            <w:r>
              <w:rPr>
                <w:rFonts w:ascii="Times New Roman" w:cs="Times New Roman" w:eastAsia="Times New Roman" w:hAnsi="Times New Roman"/>
                <w:sz w:val="12"/>
                <w:szCs w:val="12"/>
                <w:b w:val="1"/>
                <w:bCs w:val="1"/>
                <w:color w:val="auto"/>
              </w:rPr>
              <w:t>Total finance lease liabilities</w:t>
            </w:r>
          </w:p>
        </w:tc>
        <w:tc>
          <w:tcPr>
            <w:tcW w:w="1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2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right"/>
              <w:ind w:right="766"/>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11</w:t>
            </w:r>
          </w:p>
        </w:tc>
        <w:tc>
          <w:tcPr>
            <w:tcW w:w="22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jc w:val="right"/>
              <w:ind w:right="180"/>
              <w:spacing w:after="0" w:line="120"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43</w:t>
            </w:r>
          </w:p>
        </w:tc>
        <w:tc>
          <w:tcPr>
            <w:tcW w:w="0" w:type="dxa"/>
            <w:vAlign w:val="bottom"/>
          </w:tcPr>
          <w:p>
            <w:pPr>
              <w:spacing w:after="0"/>
              <w:rPr>
                <w:sz w:val="1"/>
                <w:szCs w:val="1"/>
                <w:color w:val="auto"/>
              </w:rPr>
            </w:pPr>
          </w:p>
        </w:tc>
      </w:tr>
      <w:tr>
        <w:trPr>
          <w:trHeight w:val="129"/>
        </w:trPr>
        <w:tc>
          <w:tcPr>
            <w:tcW w:w="5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200" w:type="dxa"/>
            <w:vAlign w:val="bottom"/>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Other information</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200" w:type="dxa"/>
            <w:vAlign w:val="bottom"/>
            <w:shd w:val="clear" w:color="auto" w:fill="CCEEFF"/>
          </w:tcPr>
          <w:p>
            <w:pPr>
              <w:ind w:left="60"/>
              <w:spacing w:after="0" w:line="130" w:lineRule="exact"/>
              <w:rPr>
                <w:sz w:val="20"/>
                <w:szCs w:val="20"/>
                <w:color w:val="auto"/>
              </w:rPr>
            </w:pPr>
            <w:r>
              <w:rPr>
                <w:rFonts w:ascii="Times New Roman" w:cs="Times New Roman" w:eastAsia="Times New Roman" w:hAnsi="Times New Roman"/>
                <w:sz w:val="12"/>
                <w:szCs w:val="12"/>
                <w:color w:val="auto"/>
              </w:rPr>
              <w:t>Weighted-average remaining lease term - finance leases</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0</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30"/>
        </w:trPr>
        <w:tc>
          <w:tcPr>
            <w:tcW w:w="520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auto"/>
              </w:rPr>
              <w:t>Weighted-average remaining lease term - operating leases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11</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30"/>
        </w:trPr>
        <w:tc>
          <w:tcPr>
            <w:tcW w:w="5200" w:type="dxa"/>
            <w:vAlign w:val="bottom"/>
            <w:shd w:val="clear" w:color="auto" w:fill="CCEEFF"/>
          </w:tcPr>
          <w:p>
            <w:pPr>
              <w:ind w:left="60"/>
              <w:spacing w:after="0" w:line="130" w:lineRule="exact"/>
              <w:rPr>
                <w:sz w:val="20"/>
                <w:szCs w:val="20"/>
                <w:color w:val="auto"/>
              </w:rPr>
            </w:pPr>
            <w:r>
              <w:rPr>
                <w:rFonts w:ascii="Times New Roman" w:cs="Times New Roman" w:eastAsia="Times New Roman" w:hAnsi="Times New Roman"/>
                <w:sz w:val="12"/>
                <w:szCs w:val="12"/>
                <w:color w:val="auto"/>
              </w:rPr>
              <w:t>Weighted-average discount rate - finance leases</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7.07%</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7.07%</w:t>
            </w:r>
          </w:p>
        </w:tc>
        <w:tc>
          <w:tcPr>
            <w:tcW w:w="0" w:type="dxa"/>
            <w:vAlign w:val="bottom"/>
          </w:tcPr>
          <w:p>
            <w:pPr>
              <w:spacing w:after="0"/>
              <w:rPr>
                <w:sz w:val="1"/>
                <w:szCs w:val="1"/>
                <w:color w:val="auto"/>
              </w:rPr>
            </w:pPr>
          </w:p>
        </w:tc>
      </w:tr>
      <w:tr>
        <w:trPr>
          <w:trHeight w:val="161"/>
        </w:trPr>
        <w:tc>
          <w:tcPr>
            <w:tcW w:w="5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Weighted-average discount rate - operating leases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w:t>
            </w:r>
          </w:p>
        </w:tc>
        <w:tc>
          <w:tcPr>
            <w:tcW w:w="0" w:type="dxa"/>
            <w:vAlign w:val="bottom"/>
          </w:tcPr>
          <w:p>
            <w:pPr>
              <w:spacing w:after="0"/>
              <w:rPr>
                <w:sz w:val="1"/>
                <w:szCs w:val="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2"/>
                <w:szCs w:val="12"/>
                <w:color w:val="auto"/>
              </w:rPr>
              <w:t>The maturities of our leases were as follows: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0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center"/>
              <w:ind w:left="446"/>
              <w:spacing w:after="0"/>
              <w:rPr>
                <w:sz w:val="20"/>
                <w:szCs w:val="20"/>
                <w:color w:val="auto"/>
              </w:rPr>
            </w:pPr>
            <w:r>
              <w:rPr>
                <w:rFonts w:ascii="Times New Roman" w:cs="Times New Roman" w:eastAsia="Times New Roman" w:hAnsi="Times New Roman"/>
                <w:sz w:val="10"/>
                <w:szCs w:val="10"/>
                <w:b w:val="1"/>
                <w:bCs w:val="1"/>
                <w:color w:val="auto"/>
              </w:rPr>
              <w:t>Operating</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560"/>
              <w:spacing w:after="0"/>
              <w:rPr>
                <w:sz w:val="20"/>
                <w:szCs w:val="20"/>
                <w:color w:val="auto"/>
              </w:rPr>
            </w:pPr>
            <w:r>
              <w:rPr>
                <w:rFonts w:ascii="Times New Roman" w:cs="Times New Roman" w:eastAsia="Times New Roman" w:hAnsi="Times New Roman"/>
                <w:sz w:val="10"/>
                <w:szCs w:val="10"/>
                <w:b w:val="1"/>
                <w:bCs w:val="1"/>
                <w:color w:val="auto"/>
                <w:w w:val="94"/>
              </w:rPr>
              <w:t>Finance</w:t>
            </w:r>
          </w:p>
        </w:tc>
        <w:tc>
          <w:tcPr>
            <w:tcW w:w="0" w:type="dxa"/>
            <w:vAlign w:val="bottom"/>
          </w:tcPr>
          <w:p>
            <w:pPr>
              <w:spacing w:after="0"/>
              <w:rPr>
                <w:sz w:val="1"/>
                <w:szCs w:val="1"/>
                <w:color w:val="auto"/>
              </w:rPr>
            </w:pPr>
          </w:p>
        </w:tc>
      </w:tr>
      <w:tr>
        <w:trPr>
          <w:trHeight w:val="119"/>
        </w:trPr>
        <w:tc>
          <w:tcPr>
            <w:tcW w:w="520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060" w:type="dxa"/>
            <w:vAlign w:val="bottom"/>
            <w:tcBorders>
              <w:bottom w:val="single" w:sz="8" w:color="auto"/>
            </w:tcBorders>
            <w:gridSpan w:val="2"/>
          </w:tcPr>
          <w:p>
            <w:pPr>
              <w:jc w:val="center"/>
              <w:ind w:left="766"/>
              <w:spacing w:after="0"/>
              <w:rPr>
                <w:sz w:val="20"/>
                <w:szCs w:val="20"/>
                <w:color w:val="auto"/>
              </w:rPr>
            </w:pPr>
            <w:r>
              <w:rPr>
                <w:rFonts w:ascii="Times New Roman" w:cs="Times New Roman" w:eastAsia="Times New Roman" w:hAnsi="Times New Roman"/>
                <w:sz w:val="10"/>
                <w:szCs w:val="10"/>
                <w:b w:val="1"/>
                <w:bCs w:val="1"/>
                <w:color w:val="auto"/>
                <w:w w:val="97"/>
              </w:rPr>
              <w:t>leases‎</w:t>
            </w:r>
          </w:p>
        </w:tc>
        <w:tc>
          <w:tcPr>
            <w:tcW w:w="2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w w:val="97"/>
              </w:rPr>
              <w:t>leases‎</w:t>
            </w:r>
          </w:p>
        </w:tc>
        <w:tc>
          <w:tcPr>
            <w:tcW w:w="0" w:type="dxa"/>
            <w:vAlign w:val="bottom"/>
          </w:tcPr>
          <w:p>
            <w:pPr>
              <w:spacing w:after="0"/>
              <w:rPr>
                <w:sz w:val="1"/>
                <w:szCs w:val="1"/>
                <w:color w:val="auto"/>
              </w:rPr>
            </w:pPr>
          </w:p>
        </w:tc>
      </w:tr>
      <w:tr>
        <w:trPr>
          <w:trHeight w:val="129"/>
        </w:trPr>
        <w:tc>
          <w:tcPr>
            <w:tcW w:w="52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2025</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7,341</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30"/>
        </w:trPr>
        <w:tc>
          <w:tcPr>
            <w:tcW w:w="52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2026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27,756</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0"/>
        </w:trPr>
        <w:tc>
          <w:tcPr>
            <w:tcW w:w="5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2027</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25,920</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0"/>
        </w:trPr>
        <w:tc>
          <w:tcPr>
            <w:tcW w:w="52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2028</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24,836</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0"/>
        </w:trPr>
        <w:tc>
          <w:tcPr>
            <w:tcW w:w="5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2029</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23,407</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0"/>
        </w:trPr>
        <w:tc>
          <w:tcPr>
            <w:tcW w:w="5200" w:type="dxa"/>
            <w:vAlign w:val="bottom"/>
            <w:tcBorders>
              <w:bottom w:val="single" w:sz="8" w:color="CCEEFF"/>
            </w:tcBorders>
          </w:tcPr>
          <w:p>
            <w:pPr>
              <w:spacing w:after="0" w:line="130" w:lineRule="exact"/>
              <w:rPr>
                <w:sz w:val="20"/>
                <w:szCs w:val="20"/>
                <w:color w:val="auto"/>
              </w:rPr>
            </w:pPr>
            <w:r>
              <w:rPr>
                <w:rFonts w:ascii="Times New Roman" w:cs="Times New Roman" w:eastAsia="Times New Roman" w:hAnsi="Times New Roman"/>
                <w:sz w:val="12"/>
                <w:szCs w:val="12"/>
                <w:color w:val="auto"/>
              </w:rPr>
              <w:t>Thereafter</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126,347</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0"/>
        </w:trPr>
        <w:tc>
          <w:tcPr>
            <w:tcW w:w="5200" w:type="dxa"/>
            <w:vAlign w:val="bottom"/>
            <w:shd w:val="clear" w:color="auto" w:fill="CCEEFF"/>
          </w:tcPr>
          <w:p>
            <w:pPr>
              <w:ind w:left="60"/>
              <w:spacing w:after="0" w:line="120" w:lineRule="exact"/>
              <w:rPr>
                <w:sz w:val="20"/>
                <w:szCs w:val="20"/>
                <w:color w:val="auto"/>
              </w:rPr>
            </w:pPr>
            <w:r>
              <w:rPr>
                <w:rFonts w:ascii="Times New Roman" w:cs="Times New Roman" w:eastAsia="Times New Roman" w:hAnsi="Times New Roman"/>
                <w:sz w:val="12"/>
                <w:szCs w:val="12"/>
                <w:b w:val="1"/>
                <w:bCs w:val="1"/>
                <w:color w:val="auto"/>
              </w:rPr>
              <w:t>Total lease payments</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766"/>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235,607</w:t>
            </w:r>
          </w:p>
        </w:tc>
        <w:tc>
          <w:tcPr>
            <w:tcW w:w="22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jc w:val="right"/>
              <w:ind w:right="180"/>
              <w:spacing w:after="0" w:line="120"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11</w:t>
            </w:r>
          </w:p>
        </w:tc>
        <w:tc>
          <w:tcPr>
            <w:tcW w:w="0" w:type="dxa"/>
            <w:vAlign w:val="bottom"/>
          </w:tcPr>
          <w:p>
            <w:pPr>
              <w:spacing w:after="0"/>
              <w:rPr>
                <w:sz w:val="1"/>
                <w:szCs w:val="1"/>
                <w:color w:val="auto"/>
              </w:rPr>
            </w:pPr>
          </w:p>
        </w:tc>
      </w:tr>
      <w:tr>
        <w:trPr>
          <w:trHeight w:val="120"/>
        </w:trPr>
        <w:tc>
          <w:tcPr>
            <w:tcW w:w="5200" w:type="dxa"/>
            <w:vAlign w:val="bottom"/>
            <w:tcBorders>
              <w:bottom w:val="single" w:sz="8" w:color="CCEEFF"/>
            </w:tcBorders>
          </w:tcPr>
          <w:p>
            <w:pPr>
              <w:spacing w:after="0" w:line="120" w:lineRule="exact"/>
              <w:rPr>
                <w:sz w:val="20"/>
                <w:szCs w:val="20"/>
                <w:color w:val="auto"/>
              </w:rPr>
            </w:pPr>
            <w:r>
              <w:rPr>
                <w:rFonts w:ascii="Times New Roman" w:cs="Times New Roman" w:eastAsia="Times New Roman" w:hAnsi="Times New Roman"/>
                <w:sz w:val="12"/>
                <w:szCs w:val="12"/>
                <w:color w:val="auto"/>
              </w:rPr>
              <w:t>Less imputed interest</w:t>
            </w:r>
          </w:p>
        </w:tc>
        <w:tc>
          <w:tcPr>
            <w:tcW w:w="1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2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(53,838)</w:t>
            </w:r>
          </w:p>
        </w:tc>
        <w:tc>
          <w:tcPr>
            <w:tcW w:w="22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(0)</w:t>
            </w:r>
          </w:p>
        </w:tc>
        <w:tc>
          <w:tcPr>
            <w:tcW w:w="0" w:type="dxa"/>
            <w:vAlign w:val="bottom"/>
          </w:tcPr>
          <w:p>
            <w:pPr>
              <w:spacing w:after="0"/>
              <w:rPr>
                <w:sz w:val="1"/>
                <w:szCs w:val="1"/>
                <w:color w:val="auto"/>
              </w:rPr>
            </w:pPr>
          </w:p>
        </w:tc>
      </w:tr>
      <w:tr>
        <w:trPr>
          <w:trHeight w:val="140"/>
        </w:trPr>
        <w:tc>
          <w:tcPr>
            <w:tcW w:w="5200" w:type="dxa"/>
            <w:vAlign w:val="bottom"/>
            <w:tcBorders>
              <w:bottom w:val="single" w:sz="8" w:color="CCEEFF"/>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Total</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766"/>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181,769</w:t>
            </w:r>
          </w:p>
        </w:tc>
        <w:tc>
          <w:tcPr>
            <w:tcW w:w="2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80"/>
              <w:spacing w:after="0" w:line="120"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11</w:t>
            </w:r>
          </w:p>
        </w:tc>
        <w:tc>
          <w:tcPr>
            <w:tcW w:w="0" w:type="dxa"/>
            <w:vAlign w:val="bottom"/>
          </w:tcPr>
          <w:p>
            <w:pPr>
              <w:spacing w:after="0"/>
              <w:rPr>
                <w:sz w:val="1"/>
                <w:szCs w:val="1"/>
                <w:color w:val="auto"/>
              </w:rPr>
            </w:pPr>
          </w:p>
        </w:tc>
      </w:tr>
      <w:tr>
        <w:trPr>
          <w:trHeight w:val="248"/>
        </w:trPr>
        <w:tc>
          <w:tcPr>
            <w:tcW w:w="5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962"/>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2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2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7152640</wp:posOffset>
            </wp:positionH>
            <wp:positionV relativeFrom="paragraph">
              <wp:posOffset>-24130</wp:posOffset>
            </wp:positionV>
            <wp:extent cx="3111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-24130</wp:posOffset>
            </wp:positionV>
            <wp:extent cx="31115"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00"/>
          </w:cols>
          <w:pgMar w:left="300" w:top="387"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i w:val="1"/>
          <w:iCs w:val="1"/>
          <w:color w:val="auto"/>
        </w:rPr>
        <w:t>As Lessor</w:t>
      </w:r>
    </w:p>
    <w:p>
      <w:pPr>
        <w:spacing w:after="0" w:line="1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2"/>
          <w:szCs w:val="12"/>
          <w:color w:val="auto"/>
        </w:rPr>
        <w:t>We have entered into various leases as a lessor for our owned real estate properties. These leases vary in length between 1 and 12 years, with certain leases containing options to extend at the behest of the applicable tenants. Lease components consist of fixed base rent, and for certain leases, variable lease payments consisting of contracted percentages of revenue, changes in the relevant CPI, and/or other contracted financial metrics. None of our leases grant any right to the tenant to purchase the underlying asset.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Lease income relating to operating lease payments was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0" w:type="dxa"/>
            <w:vAlign w:val="bottom"/>
            <w:gridSpan w:val="4"/>
          </w:tcPr>
          <w:p>
            <w:pPr>
              <w:jc w:val="right"/>
              <w:ind w:right="103"/>
              <w:spacing w:after="0"/>
              <w:rPr>
                <w:sz w:val="20"/>
                <w:szCs w:val="20"/>
                <w:color w:val="auto"/>
              </w:rPr>
            </w:pPr>
            <w:r>
              <w:rPr>
                <w:rFonts w:ascii="Times New Roman" w:cs="Times New Roman" w:eastAsia="Times New Roman" w:hAnsi="Times New Roman"/>
                <w:sz w:val="10"/>
                <w:szCs w:val="10"/>
                <w:b w:val="1"/>
                <w:bCs w:val="1"/>
                <w:color w:val="auto"/>
              </w:rPr>
              <w:t>Quarter Ended</w:t>
            </w: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4"/>
          </w:tcPr>
          <w:p>
            <w:pPr>
              <w:jc w:val="right"/>
              <w:ind w:right="123"/>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right"/>
              <w:ind w:right="103"/>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16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0"/>
                <w:szCs w:val="10"/>
                <w:b w:val="1"/>
                <w:bCs w:val="1"/>
                <w:color w:val="auto"/>
              </w:rPr>
              <w:t>2025</w:t>
            </w:r>
          </w:p>
        </w:tc>
        <w:tc>
          <w:tcPr>
            <w:tcW w:w="16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ind w:right="341"/>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0" w:type="dxa"/>
            <w:vAlign w:val="bottom"/>
          </w:tcPr>
          <w:p>
            <w:pPr>
              <w:spacing w:after="0"/>
              <w:rPr>
                <w:sz w:val="1"/>
                <w:szCs w:val="1"/>
                <w:color w:val="auto"/>
              </w:rPr>
            </w:pPr>
          </w:p>
        </w:tc>
      </w:tr>
      <w:tr>
        <w:trPr>
          <w:trHeight w:val="129"/>
        </w:trPr>
        <w:tc>
          <w:tcPr>
            <w:tcW w:w="52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Components of lease income</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20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auto"/>
              </w:rPr>
              <w:t>Lease payments</w:t>
            </w:r>
          </w:p>
        </w:tc>
        <w:tc>
          <w:tcPr>
            <w:tcW w:w="480" w:type="dxa"/>
            <w:vAlign w:val="bottom"/>
            <w:gridSpan w:val="2"/>
          </w:tcPr>
          <w:p>
            <w:pPr>
              <w:jc w:val="right"/>
              <w:ind w:right="203"/>
              <w:spacing w:after="0" w:line="130"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2,396</w:t>
            </w:r>
          </w:p>
        </w:tc>
        <w:tc>
          <w:tcPr>
            <w:tcW w:w="480" w:type="dxa"/>
            <w:vAlign w:val="bottom"/>
            <w:gridSpan w:val="2"/>
          </w:tcPr>
          <w:p>
            <w:pPr>
              <w:jc w:val="right"/>
              <w:ind w:right="283"/>
              <w:spacing w:after="0" w:line="130"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2,781</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7,676</w:t>
            </w:r>
          </w:p>
        </w:tc>
        <w:tc>
          <w:tcPr>
            <w:tcW w:w="160" w:type="dxa"/>
            <w:vAlign w:val="bottom"/>
          </w:tcPr>
          <w:p>
            <w:pPr>
              <w:spacing w:after="0"/>
              <w:rPr>
                <w:sz w:val="11"/>
                <w:szCs w:val="11"/>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8,186</w:t>
            </w:r>
          </w:p>
        </w:tc>
        <w:tc>
          <w:tcPr>
            <w:tcW w:w="0" w:type="dxa"/>
            <w:vAlign w:val="bottom"/>
          </w:tcPr>
          <w:p>
            <w:pPr>
              <w:spacing w:after="0"/>
              <w:rPr>
                <w:sz w:val="1"/>
                <w:szCs w:val="1"/>
                <w:color w:val="auto"/>
              </w:rPr>
            </w:pPr>
          </w:p>
        </w:tc>
      </w:tr>
      <w:tr>
        <w:trPr>
          <w:trHeight w:val="130"/>
        </w:trPr>
        <w:tc>
          <w:tcPr>
            <w:tcW w:w="5200" w:type="dxa"/>
            <w:vAlign w:val="bottom"/>
            <w:shd w:val="clear" w:color="auto" w:fill="CCEEFF"/>
          </w:tcPr>
          <w:p>
            <w:pPr>
              <w:ind w:left="60"/>
              <w:spacing w:after="0" w:line="130" w:lineRule="exact"/>
              <w:rPr>
                <w:sz w:val="20"/>
                <w:szCs w:val="20"/>
                <w:color w:val="auto"/>
              </w:rPr>
            </w:pPr>
            <w:r>
              <w:rPr>
                <w:rFonts w:ascii="Times New Roman" w:cs="Times New Roman" w:eastAsia="Times New Roman" w:hAnsi="Times New Roman"/>
                <w:sz w:val="12"/>
                <w:szCs w:val="12"/>
                <w:color w:val="auto"/>
              </w:rPr>
              <w:t>Variable lease payments</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71</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178</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399</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600</w:t>
            </w:r>
          </w:p>
        </w:tc>
        <w:tc>
          <w:tcPr>
            <w:tcW w:w="0" w:type="dxa"/>
            <w:vAlign w:val="bottom"/>
          </w:tcPr>
          <w:p>
            <w:pPr>
              <w:spacing w:after="0"/>
              <w:rPr>
                <w:sz w:val="1"/>
                <w:szCs w:val="1"/>
                <w:color w:val="auto"/>
              </w:rPr>
            </w:pPr>
          </w:p>
        </w:tc>
      </w:tr>
      <w:tr>
        <w:trPr>
          <w:trHeight w:val="120"/>
        </w:trPr>
        <w:tc>
          <w:tcPr>
            <w:tcW w:w="5200" w:type="dxa"/>
            <w:vAlign w:val="bottom"/>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Total lease income</w:t>
            </w:r>
          </w:p>
        </w:tc>
        <w:tc>
          <w:tcPr>
            <w:tcW w:w="160" w:type="dxa"/>
            <w:vAlign w:val="bottom"/>
          </w:tcPr>
          <w:p>
            <w:pPr>
              <w:spacing w:after="0"/>
              <w:rPr>
                <w:sz w:val="10"/>
                <w:szCs w:val="10"/>
                <w:color w:val="auto"/>
              </w:rPr>
            </w:pPr>
          </w:p>
        </w:tc>
        <w:tc>
          <w:tcPr>
            <w:tcW w:w="320" w:type="dxa"/>
            <w:vAlign w:val="bottom"/>
            <w:tcBorders>
              <w:top w:val="single" w:sz="8" w:color="auto"/>
              <w:bottom w:val="single" w:sz="8" w:color="auto"/>
            </w:tcBorders>
          </w:tcPr>
          <w:p>
            <w:pPr>
              <w:jc w:val="right"/>
              <w:ind w:right="20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2,467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ind w:right="28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2,959</w:t>
            </w:r>
          </w:p>
        </w:tc>
        <w:tc>
          <w:tcPr>
            <w:tcW w:w="180" w:type="dxa"/>
            <w:vAlign w:val="bottom"/>
          </w:tcPr>
          <w:p>
            <w:pPr>
              <w:spacing w:after="0"/>
              <w:rPr>
                <w:sz w:val="10"/>
                <w:szCs w:val="10"/>
                <w:color w:val="auto"/>
              </w:rPr>
            </w:pPr>
          </w:p>
        </w:tc>
        <w:tc>
          <w:tcPr>
            <w:tcW w:w="220" w:type="dxa"/>
            <w:vAlign w:val="bottom"/>
            <w:tcBorders>
              <w:top w:val="single" w:sz="8" w:color="auto"/>
              <w:bottom w:val="single" w:sz="8" w:color="auto"/>
            </w:tcBorders>
          </w:tcPr>
          <w:p>
            <w:pPr>
              <w:jc w:val="right"/>
              <w:ind w:right="10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8,075</w:t>
            </w:r>
          </w:p>
        </w:tc>
        <w:tc>
          <w:tcPr>
            <w:tcW w:w="16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ind w:right="26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8,786</w:t>
            </w:r>
          </w:p>
        </w:tc>
        <w:tc>
          <w:tcPr>
            <w:tcW w:w="0" w:type="dxa"/>
            <w:vAlign w:val="bottom"/>
          </w:tcPr>
          <w:p>
            <w:pPr>
              <w:spacing w:after="0"/>
              <w:rPr>
                <w:sz w:val="1"/>
                <w:szCs w:val="1"/>
                <w:color w:val="auto"/>
              </w:rPr>
            </w:pPr>
          </w:p>
        </w:tc>
      </w:tr>
      <w:tr>
        <w:trPr>
          <w:trHeight w:val="268"/>
        </w:trPr>
        <w:tc>
          <w:tcPr>
            <w:tcW w:w="5200" w:type="dxa"/>
            <w:vAlign w:val="bottom"/>
          </w:tcPr>
          <w:p>
            <w:pPr>
              <w:spacing w:after="0"/>
              <w:rPr>
                <w:sz w:val="20"/>
                <w:szCs w:val="20"/>
                <w:color w:val="auto"/>
              </w:rPr>
            </w:pPr>
            <w:r>
              <w:rPr>
                <w:rFonts w:ascii="Times New Roman" w:cs="Times New Roman" w:eastAsia="Times New Roman" w:hAnsi="Times New Roman"/>
                <w:sz w:val="12"/>
                <w:szCs w:val="12"/>
                <w:color w:val="auto"/>
              </w:rPr>
              <w:t>The book value of underlying assets under operating leases from owned assets was as follows:</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5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80" w:type="dxa"/>
            <w:vAlign w:val="bottom"/>
          </w:tcPr>
          <w:p>
            <w:pPr>
              <w:spacing w:after="0"/>
              <w:rPr>
                <w:sz w:val="23"/>
                <w:szCs w:val="23"/>
                <w:color w:val="auto"/>
              </w:rPr>
            </w:pPr>
          </w:p>
        </w:tc>
        <w:tc>
          <w:tcPr>
            <w:tcW w:w="1000" w:type="dxa"/>
            <w:vAlign w:val="bottom"/>
          </w:tcPr>
          <w:p>
            <w:pPr>
              <w:jc w:val="center"/>
              <w:ind w:right="321"/>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0" w:type="dxa"/>
            <w:vAlign w:val="bottom"/>
          </w:tcPr>
          <w:p>
            <w:pPr>
              <w:spacing w:after="0"/>
              <w:rPr>
                <w:sz w:val="1"/>
                <w:szCs w:val="1"/>
                <w:color w:val="auto"/>
              </w:rPr>
            </w:pPr>
          </w:p>
        </w:tc>
      </w:tr>
      <w:tr>
        <w:trPr>
          <w:trHeight w:val="128"/>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1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0"/>
                <w:szCs w:val="10"/>
                <w:b w:val="1"/>
                <w:bCs w:val="1"/>
                <w:color w:val="auto"/>
              </w:rPr>
              <w:t>2025</w:t>
            </w:r>
          </w:p>
        </w:tc>
        <w:tc>
          <w:tcPr>
            <w:tcW w:w="16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341"/>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0" w:type="dxa"/>
            <w:vAlign w:val="bottom"/>
          </w:tcPr>
          <w:p>
            <w:pPr>
              <w:spacing w:after="0"/>
              <w:rPr>
                <w:sz w:val="1"/>
                <w:szCs w:val="1"/>
                <w:color w:val="auto"/>
              </w:rPr>
            </w:pPr>
          </w:p>
        </w:tc>
      </w:tr>
      <w:tr>
        <w:trPr>
          <w:trHeight w:val="129"/>
        </w:trPr>
        <w:tc>
          <w:tcPr>
            <w:tcW w:w="520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2"/>
                <w:szCs w:val="12"/>
                <w:b w:val="1"/>
                <w:bCs w:val="1"/>
                <w:color w:val="auto"/>
              </w:rPr>
              <w:t>Building and improvements</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200" w:type="dxa"/>
            <w:vAlign w:val="bottom"/>
          </w:tcPr>
          <w:p>
            <w:pPr>
              <w:ind w:left="220"/>
              <w:spacing w:after="0" w:line="130" w:lineRule="exact"/>
              <w:rPr>
                <w:sz w:val="20"/>
                <w:szCs w:val="20"/>
                <w:color w:val="auto"/>
              </w:rPr>
            </w:pPr>
            <w:r>
              <w:rPr>
                <w:rFonts w:ascii="Times New Roman" w:cs="Times New Roman" w:eastAsia="Times New Roman" w:hAnsi="Times New Roman"/>
                <w:sz w:val="12"/>
                <w:szCs w:val="12"/>
                <w:color w:val="auto"/>
              </w:rPr>
              <w:t>Gross balance</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115,451</w:t>
            </w:r>
          </w:p>
        </w:tc>
        <w:tc>
          <w:tcPr>
            <w:tcW w:w="160" w:type="dxa"/>
            <w:vAlign w:val="bottom"/>
          </w:tcPr>
          <w:p>
            <w:pPr>
              <w:spacing w:after="0"/>
              <w:rPr>
                <w:sz w:val="11"/>
                <w:szCs w:val="11"/>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113,424</w:t>
            </w:r>
          </w:p>
        </w:tc>
        <w:tc>
          <w:tcPr>
            <w:tcW w:w="0" w:type="dxa"/>
            <w:vAlign w:val="bottom"/>
          </w:tcPr>
          <w:p>
            <w:pPr>
              <w:spacing w:after="0"/>
              <w:rPr>
                <w:sz w:val="1"/>
                <w:szCs w:val="1"/>
                <w:color w:val="auto"/>
              </w:rPr>
            </w:pPr>
          </w:p>
        </w:tc>
      </w:tr>
      <w:tr>
        <w:trPr>
          <w:trHeight w:val="130"/>
        </w:trPr>
        <w:tc>
          <w:tcPr>
            <w:tcW w:w="5200" w:type="dxa"/>
            <w:vAlign w:val="bottom"/>
            <w:shd w:val="clear" w:color="auto" w:fill="CCEEFF"/>
          </w:tcPr>
          <w:p>
            <w:pPr>
              <w:ind w:left="220"/>
              <w:spacing w:after="0" w:line="130" w:lineRule="exact"/>
              <w:rPr>
                <w:sz w:val="20"/>
                <w:szCs w:val="20"/>
                <w:color w:val="auto"/>
              </w:rPr>
            </w:pPr>
            <w:r>
              <w:rPr>
                <w:rFonts w:ascii="Times New Roman" w:cs="Times New Roman" w:eastAsia="Times New Roman" w:hAnsi="Times New Roman"/>
                <w:sz w:val="12"/>
                <w:szCs w:val="12"/>
                <w:color w:val="auto"/>
              </w:rPr>
              <w:t>Accumulated depreciation</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(24,565)</w:t>
            </w:r>
          </w:p>
        </w:tc>
        <w:tc>
          <w:tcPr>
            <w:tcW w:w="3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(21,692)</w:t>
            </w:r>
          </w:p>
        </w:tc>
        <w:tc>
          <w:tcPr>
            <w:tcW w:w="0" w:type="dxa"/>
            <w:vAlign w:val="bottom"/>
          </w:tcPr>
          <w:p>
            <w:pPr>
              <w:spacing w:after="0"/>
              <w:rPr>
                <w:sz w:val="1"/>
                <w:szCs w:val="1"/>
                <w:color w:val="auto"/>
              </w:rPr>
            </w:pPr>
          </w:p>
        </w:tc>
      </w:tr>
      <w:tr>
        <w:trPr>
          <w:trHeight w:val="120"/>
        </w:trPr>
        <w:tc>
          <w:tcPr>
            <w:tcW w:w="5200" w:type="dxa"/>
            <w:vAlign w:val="bottom"/>
          </w:tcPr>
          <w:p>
            <w:pPr>
              <w:ind w:left="60"/>
              <w:spacing w:after="0" w:line="120" w:lineRule="exact"/>
              <w:rPr>
                <w:sz w:val="20"/>
                <w:szCs w:val="20"/>
                <w:color w:val="auto"/>
              </w:rPr>
            </w:pPr>
            <w:r>
              <w:rPr>
                <w:rFonts w:ascii="Times New Roman" w:cs="Times New Roman" w:eastAsia="Times New Roman" w:hAnsi="Times New Roman"/>
                <w:sz w:val="12"/>
                <w:szCs w:val="12"/>
                <w:b w:val="1"/>
                <w:bCs w:val="1"/>
                <w:color w:val="auto"/>
              </w:rPr>
              <w:t>Net Book Value</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top w:val="single" w:sz="8" w:color="auto"/>
              <w:bottom w:val="single" w:sz="8" w:color="auto"/>
            </w:tcBorders>
          </w:tcPr>
          <w:p>
            <w:pPr>
              <w:jc w:val="right"/>
              <w:ind w:right="10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90,886</w:t>
            </w:r>
          </w:p>
        </w:tc>
        <w:tc>
          <w:tcPr>
            <w:tcW w:w="16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ind w:right="26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91,732</w:t>
            </w:r>
          </w:p>
        </w:tc>
        <w:tc>
          <w:tcPr>
            <w:tcW w:w="0" w:type="dxa"/>
            <w:vAlign w:val="bottom"/>
          </w:tcPr>
          <w:p>
            <w:pPr>
              <w:spacing w:after="0"/>
              <w:rPr>
                <w:sz w:val="1"/>
                <w:szCs w:val="1"/>
                <w:color w:val="auto"/>
              </w:rPr>
            </w:pPr>
          </w:p>
        </w:tc>
      </w:tr>
      <w:tr>
        <w:trPr>
          <w:trHeight w:val="268"/>
        </w:trPr>
        <w:tc>
          <w:tcPr>
            <w:tcW w:w="5200" w:type="dxa"/>
            <w:vAlign w:val="bottom"/>
          </w:tcPr>
          <w:p>
            <w:pPr>
              <w:spacing w:after="0"/>
              <w:rPr>
                <w:sz w:val="20"/>
                <w:szCs w:val="20"/>
                <w:color w:val="auto"/>
              </w:rPr>
            </w:pPr>
            <w:r>
              <w:rPr>
                <w:rFonts w:ascii="Times New Roman" w:cs="Times New Roman" w:eastAsia="Times New Roman" w:hAnsi="Times New Roman"/>
                <w:sz w:val="12"/>
                <w:szCs w:val="12"/>
                <w:color w:val="auto"/>
              </w:rPr>
              <w:t>The minimum contractual rent payments due on our leases were as follows:</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20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center"/>
              <w:ind w:right="341"/>
              <w:spacing w:after="0"/>
              <w:rPr>
                <w:sz w:val="20"/>
                <w:szCs w:val="20"/>
                <w:color w:val="auto"/>
              </w:rPr>
            </w:pPr>
            <w:r>
              <w:rPr>
                <w:rFonts w:ascii="Times New Roman" w:cs="Times New Roman" w:eastAsia="Times New Roman" w:hAnsi="Times New Roman"/>
                <w:sz w:val="10"/>
                <w:szCs w:val="10"/>
                <w:b w:val="1"/>
                <w:bCs w:val="1"/>
                <w:color w:val="auto"/>
              </w:rPr>
              <w:t>Operating</w:t>
            </w:r>
          </w:p>
        </w:tc>
        <w:tc>
          <w:tcPr>
            <w:tcW w:w="0" w:type="dxa"/>
            <w:vAlign w:val="bottom"/>
          </w:tcPr>
          <w:p>
            <w:pPr>
              <w:spacing w:after="0"/>
              <w:rPr>
                <w:sz w:val="1"/>
                <w:szCs w:val="1"/>
                <w:color w:val="auto"/>
              </w:rPr>
            </w:pPr>
          </w:p>
        </w:tc>
      </w:tr>
      <w:tr>
        <w:trPr>
          <w:trHeight w:val="119"/>
        </w:trPr>
        <w:tc>
          <w:tcPr>
            <w:tcW w:w="520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ind w:right="321"/>
              <w:spacing w:after="0"/>
              <w:rPr>
                <w:sz w:val="20"/>
                <w:szCs w:val="20"/>
                <w:color w:val="auto"/>
              </w:rPr>
            </w:pPr>
            <w:r>
              <w:rPr>
                <w:rFonts w:ascii="Times New Roman" w:cs="Times New Roman" w:eastAsia="Times New Roman" w:hAnsi="Times New Roman"/>
                <w:sz w:val="10"/>
                <w:szCs w:val="10"/>
                <w:b w:val="1"/>
                <w:bCs w:val="1"/>
                <w:color w:val="auto"/>
              </w:rPr>
              <w:t>leases‎</w:t>
            </w:r>
          </w:p>
        </w:tc>
        <w:tc>
          <w:tcPr>
            <w:tcW w:w="0" w:type="dxa"/>
            <w:vAlign w:val="bottom"/>
          </w:tcPr>
          <w:p>
            <w:pPr>
              <w:spacing w:after="0"/>
              <w:rPr>
                <w:sz w:val="1"/>
                <w:szCs w:val="1"/>
                <w:color w:val="auto"/>
              </w:rPr>
            </w:pPr>
          </w:p>
        </w:tc>
      </w:tr>
      <w:tr>
        <w:trPr>
          <w:trHeight w:val="129"/>
        </w:trPr>
        <w:tc>
          <w:tcPr>
            <w:tcW w:w="52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2025</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2,500</w:t>
            </w:r>
          </w:p>
        </w:tc>
        <w:tc>
          <w:tcPr>
            <w:tcW w:w="0" w:type="dxa"/>
            <w:vAlign w:val="bottom"/>
          </w:tcPr>
          <w:p>
            <w:pPr>
              <w:spacing w:after="0"/>
              <w:rPr>
                <w:sz w:val="1"/>
                <w:szCs w:val="1"/>
                <w:color w:val="auto"/>
              </w:rPr>
            </w:pPr>
          </w:p>
        </w:tc>
      </w:tr>
      <w:tr>
        <w:trPr>
          <w:trHeight w:val="130"/>
        </w:trPr>
        <w:tc>
          <w:tcPr>
            <w:tcW w:w="52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2026</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9,942</w:t>
            </w:r>
          </w:p>
        </w:tc>
        <w:tc>
          <w:tcPr>
            <w:tcW w:w="0" w:type="dxa"/>
            <w:vAlign w:val="bottom"/>
          </w:tcPr>
          <w:p>
            <w:pPr>
              <w:spacing w:after="0"/>
              <w:rPr>
                <w:sz w:val="1"/>
                <w:szCs w:val="1"/>
                <w:color w:val="auto"/>
              </w:rPr>
            </w:pPr>
          </w:p>
        </w:tc>
      </w:tr>
      <w:tr>
        <w:trPr>
          <w:trHeight w:val="130"/>
        </w:trPr>
        <w:tc>
          <w:tcPr>
            <w:tcW w:w="5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2027</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9,527</w:t>
            </w:r>
          </w:p>
        </w:tc>
        <w:tc>
          <w:tcPr>
            <w:tcW w:w="0" w:type="dxa"/>
            <w:vAlign w:val="bottom"/>
          </w:tcPr>
          <w:p>
            <w:pPr>
              <w:spacing w:after="0"/>
              <w:rPr>
                <w:sz w:val="1"/>
                <w:szCs w:val="1"/>
                <w:color w:val="auto"/>
              </w:rPr>
            </w:pPr>
          </w:p>
        </w:tc>
      </w:tr>
      <w:tr>
        <w:trPr>
          <w:trHeight w:val="130"/>
        </w:trPr>
        <w:tc>
          <w:tcPr>
            <w:tcW w:w="52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2028</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9,475</w:t>
            </w:r>
          </w:p>
        </w:tc>
        <w:tc>
          <w:tcPr>
            <w:tcW w:w="0" w:type="dxa"/>
            <w:vAlign w:val="bottom"/>
          </w:tcPr>
          <w:p>
            <w:pPr>
              <w:spacing w:after="0"/>
              <w:rPr>
                <w:sz w:val="1"/>
                <w:szCs w:val="1"/>
                <w:color w:val="auto"/>
              </w:rPr>
            </w:pPr>
          </w:p>
        </w:tc>
      </w:tr>
      <w:tr>
        <w:trPr>
          <w:trHeight w:val="130"/>
        </w:trPr>
        <w:tc>
          <w:tcPr>
            <w:tcW w:w="5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2029</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8,926</w:t>
            </w:r>
          </w:p>
        </w:tc>
        <w:tc>
          <w:tcPr>
            <w:tcW w:w="0" w:type="dxa"/>
            <w:vAlign w:val="bottom"/>
          </w:tcPr>
          <w:p>
            <w:pPr>
              <w:spacing w:after="0"/>
              <w:rPr>
                <w:sz w:val="1"/>
                <w:szCs w:val="1"/>
                <w:color w:val="auto"/>
              </w:rPr>
            </w:pPr>
          </w:p>
        </w:tc>
      </w:tr>
      <w:tr>
        <w:trPr>
          <w:trHeight w:val="130"/>
        </w:trPr>
        <w:tc>
          <w:tcPr>
            <w:tcW w:w="5200" w:type="dxa"/>
            <w:vAlign w:val="bottom"/>
            <w:tcBorders>
              <w:bottom w:val="single" w:sz="8" w:color="CCEEFF"/>
            </w:tcBorders>
          </w:tcPr>
          <w:p>
            <w:pPr>
              <w:spacing w:after="0" w:line="130" w:lineRule="exact"/>
              <w:rPr>
                <w:sz w:val="20"/>
                <w:szCs w:val="20"/>
                <w:color w:val="auto"/>
              </w:rPr>
            </w:pPr>
            <w:r>
              <w:rPr>
                <w:rFonts w:ascii="Times New Roman" w:cs="Times New Roman" w:eastAsia="Times New Roman" w:hAnsi="Times New Roman"/>
                <w:sz w:val="12"/>
                <w:szCs w:val="12"/>
                <w:color w:val="auto"/>
              </w:rPr>
              <w:t>Thereafter</w:t>
            </w:r>
          </w:p>
        </w:tc>
        <w:tc>
          <w:tcPr>
            <w:tcW w:w="16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32,683</w:t>
            </w:r>
          </w:p>
        </w:tc>
        <w:tc>
          <w:tcPr>
            <w:tcW w:w="0" w:type="dxa"/>
            <w:vAlign w:val="bottom"/>
          </w:tcPr>
          <w:p>
            <w:pPr>
              <w:spacing w:after="0"/>
              <w:rPr>
                <w:sz w:val="1"/>
                <w:szCs w:val="1"/>
                <w:color w:val="auto"/>
              </w:rPr>
            </w:pPr>
          </w:p>
        </w:tc>
      </w:tr>
      <w:tr>
        <w:trPr>
          <w:trHeight w:val="120"/>
        </w:trPr>
        <w:tc>
          <w:tcPr>
            <w:tcW w:w="5200" w:type="dxa"/>
            <w:vAlign w:val="bottom"/>
            <w:tcBorders>
              <w:bottom w:val="single" w:sz="8" w:color="CCEEFF"/>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Total</w:t>
            </w:r>
          </w:p>
        </w:tc>
        <w:tc>
          <w:tcPr>
            <w:tcW w:w="16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jc w:val="right"/>
              <w:ind w:right="26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73,053</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9 – Goodwill and Intangible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table below summarizes goodwill by business segment as of September 30, 2025, and December 31,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1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Cinema</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0"/>
                <w:szCs w:val="10"/>
                <w:b w:val="1"/>
                <w:bCs w:val="1"/>
                <w:color w:val="auto"/>
              </w:rPr>
              <w:t>Real Estate</w:t>
            </w: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29"/>
        </w:trPr>
        <w:tc>
          <w:tcPr>
            <w:tcW w:w="66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Balance at December 31, 2024</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18,488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842"/>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5,224</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23,712</w:t>
            </w:r>
          </w:p>
        </w:tc>
      </w:tr>
      <w:tr>
        <w:trPr>
          <w:trHeight w:val="130"/>
        </w:trPr>
        <w:tc>
          <w:tcPr>
            <w:tcW w:w="666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Foreign currency translation adjustment</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864</w:t>
            </w: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0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864</w:t>
            </w:r>
          </w:p>
        </w:tc>
      </w:tr>
      <w:tr>
        <w:trPr>
          <w:trHeight w:val="120"/>
        </w:trPr>
        <w:tc>
          <w:tcPr>
            <w:tcW w:w="6660" w:type="dxa"/>
            <w:vAlign w:val="bottom"/>
            <w:tcBorders>
              <w:top w:val="single" w:sz="8" w:color="CCEEFF"/>
              <w:bottom w:val="single" w:sz="8" w:color="CCEEFF"/>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Balance at September 30, 2025</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ind w:right="786"/>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19,352</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980" w:type="dxa"/>
            <w:vAlign w:val="bottom"/>
            <w:tcBorders>
              <w:top w:val="single" w:sz="8" w:color="auto"/>
              <w:bottom w:val="single" w:sz="8" w:color="auto"/>
            </w:tcBorders>
            <w:shd w:val="clear" w:color="auto" w:fill="CCEEFF"/>
          </w:tcPr>
          <w:p>
            <w:pPr>
              <w:jc w:val="right"/>
              <w:ind w:right="842"/>
              <w:spacing w:after="0" w:line="120"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40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5,224</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jc w:val="right"/>
              <w:ind w:right="20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24,576</w:t>
            </w:r>
          </w:p>
        </w:tc>
      </w:tr>
    </w:tbl>
    <w:p>
      <w:pPr>
        <w:spacing w:after="0" w:line="1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2"/>
          <w:szCs w:val="12"/>
          <w:color w:val="auto"/>
        </w:rPr>
        <w:t>Our Company is required to test goodwill and other intangible assets for impairment on an annual basis and, if current events or circumstances require them, on an interim basis. Our next annual evaluation of goodwill and other intangible assets is scheduled during the fourth quarter of 2025. To test the impairment of goodwill, our Company compares the fair value of each reporting unit to its carrying amount, including the goodwill, to determine if there is potential goodwill impairment. A reporting unit is generally one level below the operating segment. As of September 30, 2025, we were not aware that any events indicating potential impairment of goodwill had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occurred outside of those described at </w:t>
      </w:r>
      <w:r>
        <w:rPr>
          <w:rFonts w:ascii="Times New Roman" w:cs="Times New Roman" w:eastAsia="Times New Roman" w:hAnsi="Times New Roman"/>
          <w:sz w:val="12"/>
          <w:szCs w:val="12"/>
          <w:i w:val="1"/>
          <w:iCs w:val="1"/>
          <w:color w:val="auto"/>
        </w:rPr>
        <w:t>Note 2 – Liquidity and Impairment Assessment</w:t>
      </w:r>
      <w:r>
        <w:rPr>
          <w:rFonts w:ascii="Times New Roman" w:cs="Times New Roman" w:eastAsia="Times New Roman" w:hAnsi="Times New Roman"/>
          <w:sz w:val="12"/>
          <w:szCs w:val="12"/>
          <w:color w:val="auto"/>
        </w:rPr>
        <w:t>.</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385"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color w:val="auto"/>
        </w:rPr>
        <w:t>The tables below summarize intangible assets other than goodwill, as of September 30, 2025, and December 31, 2024,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As of September 30, 2025</w:t>
            </w:r>
          </w:p>
        </w:tc>
        <w:tc>
          <w:tcPr>
            <w:tcW w:w="9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5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jc w:val="center"/>
              <w:ind w:right="384"/>
              <w:spacing w:after="0" w:line="94" w:lineRule="exact"/>
              <w:rPr>
                <w:sz w:val="20"/>
                <w:szCs w:val="20"/>
                <w:color w:val="auto"/>
              </w:rPr>
            </w:pPr>
            <w:r>
              <w:rPr>
                <w:rFonts w:ascii="Times New Roman" w:cs="Times New Roman" w:eastAsia="Times New Roman" w:hAnsi="Times New Roman"/>
                <w:sz w:val="10"/>
                <w:szCs w:val="10"/>
                <w:b w:val="1"/>
                <w:bCs w:val="1"/>
                <w:color w:val="auto"/>
              </w:rPr>
              <w:t>Other</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jc w:val="center"/>
              <w:ind w:left="346"/>
              <w:spacing w:after="0" w:line="103" w:lineRule="exact"/>
              <w:rPr>
                <w:sz w:val="20"/>
                <w:szCs w:val="20"/>
                <w:color w:val="auto"/>
              </w:rPr>
            </w:pPr>
            <w:r>
              <w:rPr>
                <w:rFonts w:ascii="Times New Roman" w:cs="Times New Roman" w:eastAsia="Times New Roman" w:hAnsi="Times New Roman"/>
                <w:sz w:val="10"/>
                <w:szCs w:val="10"/>
                <w:b w:val="1"/>
                <w:bCs w:val="1"/>
                <w:color w:val="auto"/>
                <w:w w:val="99"/>
              </w:rPr>
              <w:t>Beneficial</w:t>
            </w: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jc w:val="right"/>
              <w:ind w:right="8"/>
              <w:spacing w:after="0" w:line="103" w:lineRule="exact"/>
              <w:rPr>
                <w:sz w:val="20"/>
                <w:szCs w:val="20"/>
                <w:color w:val="auto"/>
              </w:rPr>
            </w:pPr>
            <w:r>
              <w:rPr>
                <w:rFonts w:ascii="Times New Roman" w:cs="Times New Roman" w:eastAsia="Times New Roman" w:hAnsi="Times New Roman"/>
                <w:sz w:val="10"/>
                <w:szCs w:val="10"/>
                <w:b w:val="1"/>
                <w:bCs w:val="1"/>
                <w:color w:val="auto"/>
              </w:rPr>
              <w:t>Trade</w:t>
            </w: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jc w:val="center"/>
              <w:ind w:right="404"/>
              <w:spacing w:after="0" w:line="103" w:lineRule="exact"/>
              <w:rPr>
                <w:sz w:val="20"/>
                <w:szCs w:val="20"/>
                <w:color w:val="auto"/>
              </w:rPr>
            </w:pPr>
            <w:r>
              <w:rPr>
                <w:rFonts w:ascii="Times New Roman" w:cs="Times New Roman" w:eastAsia="Times New Roman" w:hAnsi="Times New Roman"/>
                <w:sz w:val="10"/>
                <w:szCs w:val="10"/>
                <w:b w:val="1"/>
                <w:bCs w:val="1"/>
                <w:color w:val="auto"/>
              </w:rPr>
              <w:t>Intangible‎</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5320" w:type="dxa"/>
            <w:vAlign w:val="bottom"/>
            <w:gridSpan w:val="3"/>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20" w:type="dxa"/>
            <w:vAlign w:val="bottom"/>
          </w:tcPr>
          <w:p>
            <w:pPr>
              <w:spacing w:after="0"/>
              <w:rPr>
                <w:sz w:val="11"/>
                <w:szCs w:val="11"/>
                <w:color w:val="auto"/>
              </w:rPr>
            </w:pPr>
          </w:p>
        </w:tc>
        <w:tc>
          <w:tcPr>
            <w:tcW w:w="900" w:type="dxa"/>
            <w:vAlign w:val="bottom"/>
          </w:tcPr>
          <w:p>
            <w:pPr>
              <w:jc w:val="center"/>
              <w:ind w:left="366"/>
              <w:spacing w:after="0"/>
              <w:rPr>
                <w:sz w:val="20"/>
                <w:szCs w:val="20"/>
                <w:color w:val="auto"/>
              </w:rPr>
            </w:pPr>
            <w:r>
              <w:rPr>
                <w:rFonts w:ascii="Times New Roman" w:cs="Times New Roman" w:eastAsia="Times New Roman" w:hAnsi="Times New Roman"/>
                <w:sz w:val="10"/>
                <w:szCs w:val="10"/>
                <w:b w:val="1"/>
                <w:bCs w:val="1"/>
                <w:color w:val="auto"/>
                <w:w w:val="98"/>
              </w:rPr>
              <w:t>Leases‎</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Name‎</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jc w:val="center"/>
              <w:ind w:right="384"/>
              <w:spacing w:after="0"/>
              <w:rPr>
                <w:sz w:val="20"/>
                <w:szCs w:val="20"/>
                <w:color w:val="auto"/>
              </w:rPr>
            </w:pPr>
            <w:r>
              <w:rPr>
                <w:rFonts w:ascii="Times New Roman" w:cs="Times New Roman" w:eastAsia="Times New Roman" w:hAnsi="Times New Roman"/>
                <w:sz w:val="10"/>
                <w:szCs w:val="10"/>
                <w:b w:val="1"/>
                <w:bCs w:val="1"/>
                <w:color w:val="auto"/>
                <w:w w:val="97"/>
              </w:rPr>
              <w:t>Assets‎</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right"/>
              <w:ind w:right="52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9"/>
        </w:trPr>
        <w:tc>
          <w:tcPr>
            <w:tcW w:w="51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Gross carrying amount</w:t>
            </w: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10,458</w:t>
            </w:r>
          </w:p>
        </w:tc>
        <w:tc>
          <w:tcPr>
            <w:tcW w:w="1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gridSpan w:val="2"/>
            <w:shd w:val="clear" w:color="auto" w:fill="CCEEFF"/>
          </w:tcPr>
          <w:p>
            <w:pPr>
              <w:jc w:val="right"/>
              <w:ind w:right="76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9,024</w:t>
            </w: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4,393</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top w:val="single" w:sz="8" w:color="auto"/>
            </w:tcBorders>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23,875</w:t>
            </w:r>
          </w:p>
        </w:tc>
        <w:tc>
          <w:tcPr>
            <w:tcW w:w="0" w:type="dxa"/>
            <w:vAlign w:val="bottom"/>
          </w:tcPr>
          <w:p>
            <w:pPr>
              <w:spacing w:after="0"/>
              <w:rPr>
                <w:sz w:val="1"/>
                <w:szCs w:val="1"/>
                <w:color w:val="auto"/>
              </w:rPr>
            </w:pPr>
          </w:p>
        </w:tc>
      </w:tr>
      <w:tr>
        <w:trPr>
          <w:trHeight w:val="130"/>
        </w:trPr>
        <w:tc>
          <w:tcPr>
            <w:tcW w:w="5320" w:type="dxa"/>
            <w:vAlign w:val="bottom"/>
            <w:tcBorders>
              <w:bottom w:val="single" w:sz="8" w:color="CCEEFF"/>
            </w:tcBorders>
            <w:gridSpan w:val="3"/>
          </w:tcPr>
          <w:p>
            <w:pPr>
              <w:spacing w:after="0" w:line="130" w:lineRule="exact"/>
              <w:rPr>
                <w:sz w:val="20"/>
                <w:szCs w:val="20"/>
                <w:color w:val="auto"/>
              </w:rPr>
            </w:pPr>
            <w:r>
              <w:rPr>
                <w:rFonts w:ascii="Times New Roman" w:cs="Times New Roman" w:eastAsia="Times New Roman" w:hAnsi="Times New Roman"/>
                <w:sz w:val="12"/>
                <w:szCs w:val="12"/>
                <w:color w:val="auto"/>
              </w:rPr>
              <w:t>Less: Accumulated amortization</w:t>
            </w: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(10,301)</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(8,198)</w:t>
            </w:r>
          </w:p>
        </w:tc>
        <w:tc>
          <w:tcPr>
            <w:tcW w:w="16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(3,666)</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(22,165)</w:t>
            </w:r>
          </w:p>
        </w:tc>
        <w:tc>
          <w:tcPr>
            <w:tcW w:w="0" w:type="dxa"/>
            <w:vAlign w:val="bottom"/>
          </w:tcPr>
          <w:p>
            <w:pPr>
              <w:spacing w:after="0"/>
              <w:rPr>
                <w:sz w:val="1"/>
                <w:szCs w:val="1"/>
                <w:color w:val="auto"/>
              </w:rPr>
            </w:pPr>
          </w:p>
        </w:tc>
      </w:tr>
      <w:tr>
        <w:trPr>
          <w:trHeight w:val="120"/>
        </w:trPr>
        <w:tc>
          <w:tcPr>
            <w:tcW w:w="5320" w:type="dxa"/>
            <w:vAlign w:val="bottom"/>
            <w:tcBorders>
              <w:bottom w:val="single" w:sz="8" w:color="CCEEFF"/>
            </w:tcBorders>
            <w:gridSpan w:val="3"/>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Net intangible assets other than goodwill</w:t>
            </w:r>
          </w:p>
        </w:tc>
        <w:tc>
          <w:tcPr>
            <w:tcW w:w="920" w:type="dxa"/>
            <w:vAlign w:val="bottom"/>
            <w:tcBorders>
              <w:bottom w:val="single" w:sz="8" w:color="auto"/>
            </w:tcBorders>
            <w:gridSpan w:val="2"/>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44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157</w:t>
            </w:r>
          </w:p>
        </w:tc>
        <w:tc>
          <w:tcPr>
            <w:tcW w:w="16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auto"/>
            </w:tcBorders>
            <w:gridSpan w:val="2"/>
            <w:shd w:val="clear" w:color="auto" w:fill="CCEEFF"/>
          </w:tcPr>
          <w:p>
            <w:pPr>
              <w:jc w:val="right"/>
              <w:ind w:right="768"/>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826</w:t>
            </w:r>
          </w:p>
        </w:tc>
        <w:tc>
          <w:tcPr>
            <w:tcW w:w="1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ind w:right="34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727</w:t>
            </w:r>
          </w:p>
        </w:tc>
        <w:tc>
          <w:tcPr>
            <w:tcW w:w="18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6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1,710</w:t>
            </w:r>
          </w:p>
        </w:tc>
        <w:tc>
          <w:tcPr>
            <w:tcW w:w="0" w:type="dxa"/>
            <w:vAlign w:val="bottom"/>
          </w:tcPr>
          <w:p>
            <w:pPr>
              <w:spacing w:after="0"/>
              <w:rPr>
                <w:sz w:val="1"/>
                <w:szCs w:val="1"/>
                <w:color w:val="auto"/>
              </w:rPr>
            </w:pPr>
          </w:p>
        </w:tc>
      </w:tr>
      <w:tr>
        <w:trPr>
          <w:trHeight w:val="418"/>
        </w:trPr>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As of December 31, 2024</w:t>
            </w: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5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Pr>
          <w:p>
            <w:pPr>
              <w:jc w:val="center"/>
              <w:ind w:right="384"/>
              <w:spacing w:after="0" w:line="85" w:lineRule="exact"/>
              <w:rPr>
                <w:sz w:val="20"/>
                <w:szCs w:val="20"/>
                <w:color w:val="auto"/>
              </w:rPr>
            </w:pPr>
            <w:r>
              <w:rPr>
                <w:rFonts w:ascii="Times New Roman" w:cs="Times New Roman" w:eastAsia="Times New Roman" w:hAnsi="Times New Roman"/>
                <w:sz w:val="9"/>
                <w:szCs w:val="9"/>
                <w:b w:val="1"/>
                <w:bCs w:val="1"/>
                <w:color w:val="auto"/>
              </w:rPr>
              <w:t>Other</w:t>
            </w: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53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20" w:type="dxa"/>
            <w:vAlign w:val="bottom"/>
          </w:tcPr>
          <w:p>
            <w:pPr>
              <w:spacing w:after="0"/>
              <w:rPr>
                <w:sz w:val="9"/>
                <w:szCs w:val="9"/>
                <w:color w:val="auto"/>
              </w:rPr>
            </w:pPr>
          </w:p>
        </w:tc>
        <w:tc>
          <w:tcPr>
            <w:tcW w:w="900" w:type="dxa"/>
            <w:vAlign w:val="bottom"/>
          </w:tcPr>
          <w:p>
            <w:pPr>
              <w:jc w:val="center"/>
              <w:ind w:left="386"/>
              <w:spacing w:after="0" w:line="112" w:lineRule="exact"/>
              <w:rPr>
                <w:sz w:val="20"/>
                <w:szCs w:val="20"/>
                <w:color w:val="auto"/>
              </w:rPr>
            </w:pPr>
            <w:r>
              <w:rPr>
                <w:rFonts w:ascii="Times New Roman" w:cs="Times New Roman" w:eastAsia="Times New Roman" w:hAnsi="Times New Roman"/>
                <w:sz w:val="10"/>
                <w:szCs w:val="10"/>
                <w:b w:val="1"/>
                <w:bCs w:val="1"/>
                <w:color w:val="auto"/>
                <w:w w:val="99"/>
              </w:rPr>
              <w:t>Beneficial</w:t>
            </w: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jc w:val="right"/>
              <w:ind w:right="8"/>
              <w:spacing w:after="0" w:line="112" w:lineRule="exact"/>
              <w:rPr>
                <w:sz w:val="20"/>
                <w:szCs w:val="20"/>
                <w:color w:val="auto"/>
              </w:rPr>
            </w:pPr>
            <w:r>
              <w:rPr>
                <w:rFonts w:ascii="Times New Roman" w:cs="Times New Roman" w:eastAsia="Times New Roman" w:hAnsi="Times New Roman"/>
                <w:sz w:val="10"/>
                <w:szCs w:val="10"/>
                <w:b w:val="1"/>
                <w:bCs w:val="1"/>
                <w:color w:val="auto"/>
              </w:rPr>
              <w:t>Trade</w:t>
            </w: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jc w:val="center"/>
              <w:ind w:right="404"/>
              <w:spacing w:after="0" w:line="112" w:lineRule="exact"/>
              <w:rPr>
                <w:sz w:val="20"/>
                <w:szCs w:val="20"/>
                <w:color w:val="auto"/>
              </w:rPr>
            </w:pPr>
            <w:r>
              <w:rPr>
                <w:rFonts w:ascii="Times New Roman" w:cs="Times New Roman" w:eastAsia="Times New Roman" w:hAnsi="Times New Roman"/>
                <w:sz w:val="10"/>
                <w:szCs w:val="10"/>
                <w:b w:val="1"/>
                <w:bCs w:val="1"/>
                <w:color w:val="auto"/>
              </w:rPr>
              <w:t>Intangible‎</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vMerge w:val="restart"/>
          </w:tcPr>
          <w:p>
            <w:pPr>
              <w:jc w:val="right"/>
              <w:ind w:right="52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8"/>
        </w:trPr>
        <w:tc>
          <w:tcPr>
            <w:tcW w:w="53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jc w:val="center"/>
              <w:ind w:left="366"/>
              <w:spacing w:after="0"/>
              <w:rPr>
                <w:sz w:val="20"/>
                <w:szCs w:val="20"/>
                <w:color w:val="auto"/>
              </w:rPr>
            </w:pPr>
            <w:r>
              <w:rPr>
                <w:rFonts w:ascii="Times New Roman" w:cs="Times New Roman" w:eastAsia="Times New Roman" w:hAnsi="Times New Roman"/>
                <w:sz w:val="10"/>
                <w:szCs w:val="10"/>
                <w:b w:val="1"/>
                <w:bCs w:val="1"/>
                <w:color w:val="auto"/>
                <w:w w:val="98"/>
              </w:rPr>
              <w:t>Leases‎</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Name‎</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jc w:val="center"/>
              <w:ind w:right="384"/>
              <w:spacing w:after="0"/>
              <w:rPr>
                <w:sz w:val="20"/>
                <w:szCs w:val="20"/>
                <w:color w:val="auto"/>
              </w:rPr>
            </w:pPr>
            <w:r>
              <w:rPr>
                <w:rFonts w:ascii="Times New Roman" w:cs="Times New Roman" w:eastAsia="Times New Roman" w:hAnsi="Times New Roman"/>
                <w:sz w:val="10"/>
                <w:szCs w:val="10"/>
                <w:b w:val="1"/>
                <w:bCs w:val="1"/>
                <w:color w:val="auto"/>
                <w:w w:val="97"/>
              </w:rPr>
              <w:t>Assets‎</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16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Gross carrying amount</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10,458</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9,024</w:t>
            </w: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4,349</w:t>
            </w:r>
          </w:p>
        </w:tc>
        <w:tc>
          <w:tcPr>
            <w:tcW w:w="200" w:type="dxa"/>
            <w:vAlign w:val="bottom"/>
            <w:tcBorders>
              <w:top w:val="single" w:sz="8" w:color="CCEEFF"/>
            </w:tcBorders>
            <w:gridSpan w:val="2"/>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top w:val="single" w:sz="8" w:color="auto"/>
            </w:tcBorders>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23,831</w:t>
            </w:r>
          </w:p>
        </w:tc>
        <w:tc>
          <w:tcPr>
            <w:tcW w:w="0" w:type="dxa"/>
            <w:vAlign w:val="bottom"/>
          </w:tcPr>
          <w:p>
            <w:pPr>
              <w:spacing w:after="0"/>
              <w:rPr>
                <w:sz w:val="1"/>
                <w:szCs w:val="1"/>
                <w:color w:val="auto"/>
              </w:rPr>
            </w:pPr>
          </w:p>
        </w:tc>
      </w:tr>
      <w:tr>
        <w:trPr>
          <w:trHeight w:val="130"/>
        </w:trPr>
        <w:tc>
          <w:tcPr>
            <w:tcW w:w="5320" w:type="dxa"/>
            <w:vAlign w:val="bottom"/>
            <w:gridSpan w:val="3"/>
          </w:tcPr>
          <w:p>
            <w:pPr>
              <w:spacing w:after="0" w:line="130" w:lineRule="exact"/>
              <w:rPr>
                <w:sz w:val="20"/>
                <w:szCs w:val="20"/>
                <w:color w:val="auto"/>
              </w:rPr>
            </w:pPr>
            <w:r>
              <w:rPr>
                <w:rFonts w:ascii="Times New Roman" w:cs="Times New Roman" w:eastAsia="Times New Roman" w:hAnsi="Times New Roman"/>
                <w:sz w:val="12"/>
                <w:szCs w:val="12"/>
                <w:color w:val="auto"/>
              </w:rPr>
              <w:t>Less: Accumulated amortization</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(10,290)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(8,102)</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(3,639)</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(22,031)</w:t>
            </w:r>
          </w:p>
        </w:tc>
        <w:tc>
          <w:tcPr>
            <w:tcW w:w="0" w:type="dxa"/>
            <w:vAlign w:val="bottom"/>
          </w:tcPr>
          <w:p>
            <w:pPr>
              <w:spacing w:after="0"/>
              <w:rPr>
                <w:sz w:val="1"/>
                <w:szCs w:val="1"/>
                <w:color w:val="auto"/>
              </w:rPr>
            </w:pPr>
          </w:p>
        </w:tc>
      </w:tr>
      <w:tr>
        <w:trPr>
          <w:trHeight w:val="130"/>
        </w:trPr>
        <w:tc>
          <w:tcPr>
            <w:tcW w:w="5320" w:type="dxa"/>
            <w:vAlign w:val="bottom"/>
            <w:gridSpan w:val="3"/>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Less: Impairments</w:t>
            </w:r>
          </w:p>
        </w:tc>
        <w:tc>
          <w:tcPr>
            <w:tcW w:w="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0"/>
        </w:trPr>
        <w:tc>
          <w:tcPr>
            <w:tcW w:w="5320" w:type="dxa"/>
            <w:vAlign w:val="bottom"/>
            <w:gridSpan w:val="3"/>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Net intangible assets other than goodwill</w:t>
            </w:r>
          </w:p>
        </w:tc>
        <w:tc>
          <w:tcPr>
            <w:tcW w:w="20" w:type="dxa"/>
            <w:vAlign w:val="bottom"/>
          </w:tcPr>
          <w:p>
            <w:pPr>
              <w:spacing w:after="0"/>
              <w:rPr>
                <w:sz w:val="10"/>
                <w:szCs w:val="10"/>
                <w:color w:val="auto"/>
              </w:rPr>
            </w:pPr>
          </w:p>
        </w:tc>
        <w:tc>
          <w:tcPr>
            <w:tcW w:w="900" w:type="dxa"/>
            <w:vAlign w:val="bottom"/>
            <w:tcBorders>
              <w:top w:val="single" w:sz="8" w:color="auto"/>
              <w:bottom w:val="single" w:sz="8" w:color="auto"/>
            </w:tcBorders>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44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168</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ind w:right="748"/>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922</w:t>
            </w:r>
          </w:p>
        </w:tc>
        <w:tc>
          <w:tcPr>
            <w:tcW w:w="16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ind w:right="34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710</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6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1,800</w:t>
            </w:r>
          </w:p>
        </w:tc>
        <w:tc>
          <w:tcPr>
            <w:tcW w:w="0" w:type="dxa"/>
            <w:vAlign w:val="bottom"/>
          </w:tcPr>
          <w:p>
            <w:pPr>
              <w:spacing w:after="0"/>
              <w:rPr>
                <w:sz w:val="1"/>
                <w:szCs w:val="1"/>
                <w:color w:val="auto"/>
              </w:rPr>
            </w:pPr>
          </w:p>
        </w:tc>
      </w:tr>
    </w:tbl>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Beneficial leases obtained in business combinations where we are the landlord are amortized over the life of the relevant leases. Trade names are amortized based on the accelerated amortization method over their estimated useful life of 30 years, and other intangible assets are amortized over their estimated useful lives of up to 30 years (except for transferrable liquor licenses, which are indefinite-lived assets). The table below summarizes the amortization expense of intangible assets for the quarter and nine months ended September 30,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20" w:type="dxa"/>
            <w:vAlign w:val="bottom"/>
            <w:gridSpan w:val="5"/>
          </w:tcPr>
          <w:p>
            <w:pPr>
              <w:jc w:val="right"/>
              <w:ind w:right="744"/>
              <w:spacing w:after="0"/>
              <w:rPr>
                <w:sz w:val="20"/>
                <w:szCs w:val="20"/>
                <w:color w:val="auto"/>
              </w:rPr>
            </w:pPr>
            <w:r>
              <w:rPr>
                <w:rFonts w:ascii="Times New Roman" w:cs="Times New Roman" w:eastAsia="Times New Roman" w:hAnsi="Times New Roman"/>
                <w:sz w:val="10"/>
                <w:szCs w:val="10"/>
                <w:b w:val="1"/>
                <w:bCs w:val="1"/>
                <w:color w:val="auto"/>
              </w:rPr>
              <w:t>Quarter Ended</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9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5"/>
          </w:tcPr>
          <w:p>
            <w:pPr>
              <w:jc w:val="right"/>
              <w:ind w:right="764"/>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4"/>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5320" w:type="dxa"/>
            <w:vAlign w:val="bottom"/>
            <w:gridSpan w:val="2"/>
            <w:vMerge w:val="continue"/>
          </w:tcPr>
          <w:p>
            <w:pPr>
              <w:spacing w:after="0"/>
              <w:rPr>
                <w:sz w:val="9"/>
                <w:szCs w:val="9"/>
                <w:color w:val="auto"/>
              </w:rPr>
            </w:pPr>
          </w:p>
        </w:tc>
        <w:tc>
          <w:tcPr>
            <w:tcW w:w="940" w:type="dxa"/>
            <w:vAlign w:val="bottom"/>
          </w:tcPr>
          <w:p>
            <w:pPr>
              <w:jc w:val="right"/>
              <w:ind w:right="106"/>
              <w:spacing w:after="0" w:line="111" w:lineRule="exact"/>
              <w:rPr>
                <w:sz w:val="20"/>
                <w:szCs w:val="20"/>
                <w:color w:val="auto"/>
              </w:rPr>
            </w:pPr>
            <w:r>
              <w:rPr>
                <w:rFonts w:ascii="Times New Roman" w:cs="Times New Roman" w:eastAsia="Times New Roman" w:hAnsi="Times New Roman"/>
                <w:sz w:val="10"/>
                <w:szCs w:val="10"/>
                <w:b w:val="1"/>
                <w:bCs w:val="1"/>
                <w:color w:val="auto"/>
              </w:rPr>
              <w:t>2025</w:t>
            </w: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left="264"/>
              <w:spacing w:after="0" w:line="111" w:lineRule="exact"/>
              <w:rPr>
                <w:sz w:val="20"/>
                <w:szCs w:val="20"/>
                <w:color w:val="auto"/>
              </w:rPr>
            </w:pPr>
            <w:r>
              <w:rPr>
                <w:rFonts w:ascii="Times New Roman" w:cs="Times New Roman" w:eastAsia="Times New Roman" w:hAnsi="Times New Roman"/>
                <w:sz w:val="10"/>
                <w:szCs w:val="10"/>
                <w:b w:val="1"/>
                <w:bCs w:val="1"/>
                <w:color w:val="auto"/>
                <w:w w:val="99"/>
              </w:rPr>
              <w:t>2024</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jc w:val="center"/>
              <w:ind w:left="307"/>
              <w:spacing w:after="0" w:line="111" w:lineRule="exact"/>
              <w:rPr>
                <w:sz w:val="20"/>
                <w:szCs w:val="20"/>
                <w:color w:val="auto"/>
              </w:rPr>
            </w:pPr>
            <w:r>
              <w:rPr>
                <w:rFonts w:ascii="Times New Roman" w:cs="Times New Roman" w:eastAsia="Times New Roman" w:hAnsi="Times New Roman"/>
                <w:sz w:val="10"/>
                <w:szCs w:val="10"/>
                <w:b w:val="1"/>
                <w:bCs w:val="1"/>
                <w:color w:val="auto"/>
                <w:w w:val="99"/>
              </w:rPr>
              <w:t>2025</w:t>
            </w: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20" w:type="dxa"/>
            <w:vAlign w:val="bottom"/>
          </w:tcPr>
          <w:p>
            <w:pPr>
              <w:jc w:val="right"/>
              <w:ind w:right="542"/>
              <w:spacing w:after="0" w:line="111" w:lineRule="exact"/>
              <w:rPr>
                <w:sz w:val="20"/>
                <w:szCs w:val="20"/>
                <w:color w:val="auto"/>
              </w:rPr>
            </w:pPr>
            <w:r>
              <w:rPr>
                <w:rFonts w:ascii="Times New Roman" w:cs="Times New Roman" w:eastAsia="Times New Roman" w:hAnsi="Times New Roman"/>
                <w:sz w:val="10"/>
                <w:szCs w:val="10"/>
                <w:b w:val="1"/>
                <w:bCs w:val="1"/>
                <w:color w:val="auto"/>
              </w:rPr>
              <w:t>2024</w:t>
            </w:r>
          </w:p>
        </w:tc>
        <w:tc>
          <w:tcPr>
            <w:tcW w:w="0" w:type="dxa"/>
            <w:vAlign w:val="bottom"/>
          </w:tcPr>
          <w:p>
            <w:pPr>
              <w:spacing w:after="0"/>
              <w:rPr>
                <w:sz w:val="1"/>
                <w:szCs w:val="1"/>
                <w:color w:val="auto"/>
              </w:rPr>
            </w:pPr>
          </w:p>
        </w:tc>
      </w:tr>
      <w:tr>
        <w:trPr>
          <w:trHeight w:val="129"/>
        </w:trPr>
        <w:tc>
          <w:tcPr>
            <w:tcW w:w="51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Beneficial lease amortization</w:t>
            </w:r>
          </w:p>
        </w:tc>
        <w:tc>
          <w:tcPr>
            <w:tcW w:w="1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ind w:right="3"/>
              <w:spacing w:after="0" w:line="129" w:lineRule="exact"/>
              <w:rPr>
                <w:sz w:val="20"/>
                <w:szCs w:val="20"/>
                <w:color w:val="auto"/>
              </w:rPr>
            </w:pPr>
            <w:r>
              <w:rPr>
                <w:rFonts w:ascii="Times New Roman" w:cs="Times New Roman" w:eastAsia="Times New Roman" w:hAnsi="Times New Roman"/>
                <w:sz w:val="12"/>
                <w:szCs w:val="12"/>
                <w:color w:val="auto"/>
              </w:rPr>
              <w:t>3</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gridSpan w:val="2"/>
            <w:shd w:val="clear" w:color="auto" w:fill="CCEEFF"/>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21</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ind w:right="887"/>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10</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64</w:t>
            </w:r>
          </w:p>
        </w:tc>
        <w:tc>
          <w:tcPr>
            <w:tcW w:w="0" w:type="dxa"/>
            <w:vAlign w:val="bottom"/>
          </w:tcPr>
          <w:p>
            <w:pPr>
              <w:spacing w:after="0"/>
              <w:rPr>
                <w:sz w:val="1"/>
                <w:szCs w:val="1"/>
                <w:color w:val="auto"/>
              </w:rPr>
            </w:pPr>
          </w:p>
        </w:tc>
      </w:tr>
      <w:tr>
        <w:trPr>
          <w:trHeight w:val="130"/>
        </w:trPr>
        <w:tc>
          <w:tcPr>
            <w:tcW w:w="5320" w:type="dxa"/>
            <w:vAlign w:val="bottom"/>
            <w:tcBorders>
              <w:bottom w:val="single" w:sz="8" w:color="CCEEFF"/>
            </w:tcBorders>
            <w:gridSpan w:val="2"/>
          </w:tcPr>
          <w:p>
            <w:pPr>
              <w:spacing w:after="0" w:line="130" w:lineRule="exact"/>
              <w:rPr>
                <w:sz w:val="20"/>
                <w:szCs w:val="20"/>
                <w:color w:val="auto"/>
              </w:rPr>
            </w:pPr>
            <w:r>
              <w:rPr>
                <w:rFonts w:ascii="Times New Roman" w:cs="Times New Roman" w:eastAsia="Times New Roman" w:hAnsi="Times New Roman"/>
                <w:sz w:val="12"/>
                <w:szCs w:val="12"/>
                <w:color w:val="auto"/>
              </w:rPr>
              <w:t>Other amortization</w:t>
            </w:r>
          </w:p>
        </w:tc>
        <w:tc>
          <w:tcPr>
            <w:tcW w:w="9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3"/>
              <w:spacing w:after="0" w:line="130" w:lineRule="exact"/>
              <w:rPr>
                <w:sz w:val="20"/>
                <w:szCs w:val="20"/>
                <w:color w:val="auto"/>
              </w:rPr>
            </w:pPr>
            <w:r>
              <w:rPr>
                <w:rFonts w:ascii="Times New Roman" w:cs="Times New Roman" w:eastAsia="Times New Roman" w:hAnsi="Times New Roman"/>
                <w:sz w:val="12"/>
                <w:szCs w:val="12"/>
                <w:color w:val="auto"/>
              </w:rPr>
              <w:t>26</w:t>
            </w: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60</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95</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2"/>
              <w:spacing w:after="0" w:line="130" w:lineRule="exact"/>
              <w:rPr>
                <w:sz w:val="20"/>
                <w:szCs w:val="20"/>
                <w:color w:val="auto"/>
              </w:rPr>
            </w:pPr>
            <w:r>
              <w:rPr>
                <w:rFonts w:ascii="Times New Roman" w:cs="Times New Roman" w:eastAsia="Times New Roman" w:hAnsi="Times New Roman"/>
                <w:sz w:val="12"/>
                <w:szCs w:val="12"/>
                <w:color w:val="auto"/>
              </w:rPr>
              <w:t>143</w:t>
            </w:r>
          </w:p>
        </w:tc>
        <w:tc>
          <w:tcPr>
            <w:tcW w:w="0" w:type="dxa"/>
            <w:vAlign w:val="bottom"/>
          </w:tcPr>
          <w:p>
            <w:pPr>
              <w:spacing w:after="0"/>
              <w:rPr>
                <w:sz w:val="1"/>
                <w:szCs w:val="1"/>
                <w:color w:val="auto"/>
              </w:rPr>
            </w:pPr>
          </w:p>
        </w:tc>
      </w:tr>
      <w:tr>
        <w:trPr>
          <w:trHeight w:val="140"/>
        </w:trPr>
        <w:tc>
          <w:tcPr>
            <w:tcW w:w="5320" w:type="dxa"/>
            <w:vAlign w:val="bottom"/>
            <w:tcBorders>
              <w:bottom w:val="single" w:sz="8" w:color="CCEEFF"/>
            </w:tcBorders>
            <w:gridSpan w:val="2"/>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Total intangible assets amortization</w:t>
            </w:r>
          </w:p>
        </w:tc>
        <w:tc>
          <w:tcPr>
            <w:tcW w:w="940" w:type="dxa"/>
            <w:vAlign w:val="bottom"/>
            <w:tcBorders>
              <w:bottom w:val="single" w:sz="8" w:color="auto"/>
            </w:tcBorders>
            <w:shd w:val="clear" w:color="auto" w:fill="CCEEFF"/>
          </w:tcPr>
          <w:p>
            <w:pPr>
              <w:jc w:val="right"/>
              <w:ind w:right="826"/>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29</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auto"/>
            </w:tcBorders>
            <w:gridSpan w:val="2"/>
            <w:shd w:val="clear" w:color="auto" w:fill="CCEEFF"/>
          </w:tcPr>
          <w:p>
            <w:pPr>
              <w:jc w:val="right"/>
              <w:ind w:right="924"/>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81</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887"/>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105</w:t>
            </w:r>
          </w:p>
        </w:tc>
        <w:tc>
          <w:tcPr>
            <w:tcW w:w="1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24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207</w:t>
            </w:r>
          </w:p>
        </w:tc>
        <w:tc>
          <w:tcPr>
            <w:tcW w:w="0" w:type="dxa"/>
            <w:vAlign w:val="bottom"/>
          </w:tcPr>
          <w:p>
            <w:pPr>
              <w:spacing w:after="0"/>
              <w:rPr>
                <w:sz w:val="1"/>
                <w:szCs w:val="1"/>
                <w:color w:val="auto"/>
              </w:rPr>
            </w:pPr>
          </w:p>
        </w:tc>
      </w:tr>
      <w:tr>
        <w:trPr>
          <w:trHeight w:val="248"/>
        </w:trPr>
        <w:tc>
          <w:tcPr>
            <w:tcW w:w="53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Note 10 – Investments in Unconsolidated Joint Ventures</w:t>
            </w: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Our investments in unconsolidated joint ventures are accounted for under the equity method of accounting.</w:t>
            </w:r>
          </w:p>
        </w:tc>
        <w:tc>
          <w:tcPr>
            <w:tcW w:w="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80" w:type="dxa"/>
            <w:vAlign w:val="bottom"/>
            <w:gridSpan w:val="8"/>
          </w:tcPr>
          <w:p>
            <w:pPr>
              <w:spacing w:after="0"/>
              <w:rPr>
                <w:sz w:val="20"/>
                <w:szCs w:val="20"/>
                <w:color w:val="auto"/>
              </w:rPr>
            </w:pPr>
            <w:r>
              <w:rPr>
                <w:rFonts w:ascii="Times New Roman" w:cs="Times New Roman" w:eastAsia="Times New Roman" w:hAnsi="Times New Roman"/>
                <w:sz w:val="12"/>
                <w:szCs w:val="12"/>
                <w:color w:val="auto"/>
              </w:rPr>
              <w:t>The table below summarizes our active investment holdings in two (2) unconsolidated joint ventures as of September 30, 2025, and December 31, 2024:</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jc w:val="center"/>
              <w:ind w:left="287"/>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0" w:type="dxa"/>
            <w:vAlign w:val="bottom"/>
          </w:tcPr>
          <w:p>
            <w:pPr>
              <w:spacing w:after="0"/>
              <w:rPr>
                <w:sz w:val="1"/>
                <w:szCs w:val="1"/>
                <w:color w:val="auto"/>
              </w:rPr>
            </w:pPr>
          </w:p>
        </w:tc>
      </w:tr>
      <w:tr>
        <w:trPr>
          <w:trHeight w:val="128"/>
        </w:trPr>
        <w:tc>
          <w:tcPr>
            <w:tcW w:w="5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jc w:val="center"/>
              <w:ind w:left="264"/>
              <w:spacing w:after="0"/>
              <w:rPr>
                <w:sz w:val="20"/>
                <w:szCs w:val="20"/>
                <w:color w:val="auto"/>
              </w:rPr>
            </w:pPr>
            <w:r>
              <w:rPr>
                <w:rFonts w:ascii="Times New Roman" w:cs="Times New Roman" w:eastAsia="Times New Roman" w:hAnsi="Times New Roman"/>
                <w:sz w:val="10"/>
                <w:szCs w:val="10"/>
                <w:b w:val="1"/>
                <w:bCs w:val="1"/>
                <w:color w:val="auto"/>
                <w:w w:val="95"/>
              </w:rPr>
              <w:t>Interest</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3"/>
          </w:tcPr>
          <w:p>
            <w:pPr>
              <w:jc w:val="center"/>
              <w:ind w:left="430"/>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jc w:val="right"/>
              <w:ind w:right="542"/>
              <w:spacing w:after="0"/>
              <w:rPr>
                <w:sz w:val="20"/>
                <w:szCs w:val="20"/>
                <w:color w:val="auto"/>
              </w:rPr>
            </w:pPr>
            <w:r>
              <w:rPr>
                <w:rFonts w:ascii="Times New Roman" w:cs="Times New Roman" w:eastAsia="Times New Roman" w:hAnsi="Times New Roman"/>
                <w:sz w:val="10"/>
                <w:szCs w:val="10"/>
                <w:b w:val="1"/>
                <w:bCs w:val="1"/>
                <w:color w:val="auto"/>
              </w:rPr>
              <w:t>2024</w:t>
            </w:r>
          </w:p>
        </w:tc>
        <w:tc>
          <w:tcPr>
            <w:tcW w:w="0" w:type="dxa"/>
            <w:vAlign w:val="bottom"/>
          </w:tcPr>
          <w:p>
            <w:pPr>
              <w:spacing w:after="0"/>
              <w:rPr>
                <w:sz w:val="1"/>
                <w:szCs w:val="1"/>
                <w:color w:val="auto"/>
              </w:rPr>
            </w:pPr>
          </w:p>
        </w:tc>
      </w:tr>
      <w:tr>
        <w:trPr>
          <w:trHeight w:val="129"/>
        </w:trPr>
        <w:tc>
          <w:tcPr>
            <w:tcW w:w="532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Rialto Cinemas</w:t>
            </w:r>
          </w:p>
        </w:tc>
        <w:tc>
          <w:tcPr>
            <w:tcW w:w="9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center"/>
              <w:ind w:left="264"/>
              <w:spacing w:after="0" w:line="129" w:lineRule="exact"/>
              <w:rPr>
                <w:sz w:val="20"/>
                <w:szCs w:val="20"/>
                <w:color w:val="auto"/>
              </w:rPr>
            </w:pPr>
            <w:r>
              <w:rPr>
                <w:rFonts w:ascii="Times New Roman" w:cs="Times New Roman" w:eastAsia="Times New Roman" w:hAnsi="Times New Roman"/>
                <w:sz w:val="12"/>
                <w:szCs w:val="12"/>
                <w:color w:val="auto"/>
              </w:rPr>
              <w:t>50.0%</w:t>
            </w:r>
          </w:p>
        </w:tc>
        <w:tc>
          <w:tcPr>
            <w:tcW w:w="3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gridSpan w:val="2"/>
            <w:shd w:val="clear" w:color="auto" w:fill="CCEEFF"/>
          </w:tcPr>
          <w:p>
            <w:pPr>
              <w:jc w:val="right"/>
              <w:ind w:right="907"/>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w:t>
            </w:r>
          </w:p>
        </w:tc>
        <w:tc>
          <w:tcPr>
            <w:tcW w:w="540" w:type="dxa"/>
            <w:vAlign w:val="bottom"/>
            <w:tcBorders>
              <w:top w:val="single" w:sz="8" w:color="auto"/>
            </w:tcBorders>
            <w:gridSpan w:val="3"/>
            <w:shd w:val="clear" w:color="auto" w:fill="CCEEFF"/>
          </w:tcPr>
          <w:p>
            <w:pPr>
              <w:jc w:val="right"/>
              <w:ind w:right="263"/>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top w:val="single" w:sz="8" w:color="auto"/>
            </w:tcBorders>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0"/>
        </w:trPr>
        <w:tc>
          <w:tcPr>
            <w:tcW w:w="5320" w:type="dxa"/>
            <w:vAlign w:val="bottom"/>
            <w:tcBorders>
              <w:bottom w:val="single" w:sz="8" w:color="CCEEFF"/>
            </w:tcBorders>
            <w:gridSpan w:val="2"/>
          </w:tcPr>
          <w:p>
            <w:pPr>
              <w:spacing w:after="0" w:line="130" w:lineRule="exact"/>
              <w:rPr>
                <w:sz w:val="20"/>
                <w:szCs w:val="20"/>
                <w:color w:val="auto"/>
              </w:rPr>
            </w:pPr>
            <w:r>
              <w:rPr>
                <w:rFonts w:ascii="Times New Roman" w:cs="Times New Roman" w:eastAsia="Times New Roman" w:hAnsi="Times New Roman"/>
                <w:sz w:val="12"/>
                <w:szCs w:val="12"/>
                <w:color w:val="auto"/>
              </w:rPr>
              <w:t>Mt. Gravatt</w:t>
            </w:r>
          </w:p>
        </w:tc>
        <w:tc>
          <w:tcPr>
            <w:tcW w:w="94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gridSpan w:val="2"/>
          </w:tcPr>
          <w:p>
            <w:pPr>
              <w:jc w:val="center"/>
              <w:ind w:left="304"/>
              <w:spacing w:after="0" w:line="130" w:lineRule="exact"/>
              <w:rPr>
                <w:sz w:val="20"/>
                <w:szCs w:val="20"/>
                <w:color w:val="auto"/>
              </w:rPr>
            </w:pPr>
            <w:r>
              <w:rPr>
                <w:rFonts w:ascii="Times New Roman" w:cs="Times New Roman" w:eastAsia="Times New Roman" w:hAnsi="Times New Roman"/>
                <w:sz w:val="12"/>
                <w:szCs w:val="12"/>
                <w:color w:val="auto"/>
              </w:rPr>
              <w:t>33.3%</w:t>
            </w:r>
          </w:p>
        </w:tc>
        <w:tc>
          <w:tcPr>
            <w:tcW w:w="3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3,451</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2"/>
              <w:spacing w:after="0" w:line="130" w:lineRule="exact"/>
              <w:rPr>
                <w:sz w:val="20"/>
                <w:szCs w:val="20"/>
                <w:color w:val="auto"/>
              </w:rPr>
            </w:pPr>
            <w:r>
              <w:rPr>
                <w:rFonts w:ascii="Times New Roman" w:cs="Times New Roman" w:eastAsia="Times New Roman" w:hAnsi="Times New Roman"/>
                <w:sz w:val="12"/>
                <w:szCs w:val="12"/>
                <w:color w:val="auto"/>
              </w:rPr>
              <w:t>3,138</w:t>
            </w:r>
          </w:p>
        </w:tc>
        <w:tc>
          <w:tcPr>
            <w:tcW w:w="0" w:type="dxa"/>
            <w:vAlign w:val="bottom"/>
          </w:tcPr>
          <w:p>
            <w:pPr>
              <w:spacing w:after="0"/>
              <w:rPr>
                <w:sz w:val="1"/>
                <w:szCs w:val="1"/>
                <w:color w:val="auto"/>
              </w:rPr>
            </w:pPr>
          </w:p>
        </w:tc>
      </w:tr>
      <w:tr>
        <w:trPr>
          <w:trHeight w:val="120"/>
        </w:trPr>
        <w:tc>
          <w:tcPr>
            <w:tcW w:w="5320" w:type="dxa"/>
            <w:vAlign w:val="bottom"/>
            <w:tcBorders>
              <w:bottom w:val="single" w:sz="8" w:color="CCEEFF"/>
            </w:tcBorders>
            <w:gridSpan w:val="2"/>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Total investments</w:t>
            </w:r>
          </w:p>
        </w:tc>
        <w:tc>
          <w:tcPr>
            <w:tcW w:w="94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auto"/>
            </w:tcBorders>
            <w:gridSpan w:val="2"/>
            <w:shd w:val="clear" w:color="auto" w:fill="CCEEFF"/>
          </w:tcPr>
          <w:p>
            <w:pPr>
              <w:jc w:val="right"/>
              <w:ind w:right="907"/>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3,447</w:t>
            </w:r>
          </w:p>
        </w:tc>
        <w:tc>
          <w:tcPr>
            <w:tcW w:w="16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auto"/>
            </w:tcBorders>
            <w:gridSpan w:val="2"/>
            <w:shd w:val="clear" w:color="auto" w:fill="CCEEFF"/>
          </w:tcPr>
          <w:p>
            <w:pPr>
              <w:jc w:val="right"/>
              <w:ind w:right="26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3,138</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quarter and nine months ended September 30, 2025 and 2024, the recognized share of equity earnings from our investments in unconsolidated joint ventures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gridSpan w:val="3"/>
          </w:tcPr>
          <w:p>
            <w:pPr>
              <w:jc w:val="right"/>
              <w:ind w:right="123"/>
              <w:spacing w:after="0"/>
              <w:rPr>
                <w:sz w:val="20"/>
                <w:szCs w:val="20"/>
                <w:color w:val="auto"/>
              </w:rPr>
            </w:pPr>
            <w:r>
              <w:rPr>
                <w:rFonts w:ascii="Times New Roman" w:cs="Times New Roman" w:eastAsia="Times New Roman" w:hAnsi="Times New Roman"/>
                <w:sz w:val="10"/>
                <w:szCs w:val="10"/>
                <w:b w:val="1"/>
                <w:bCs w:val="1"/>
                <w:color w:val="auto"/>
              </w:rPr>
              <w:t>Quarter Ended</w:t>
            </w: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80" w:type="dxa"/>
            <w:vAlign w:val="bottom"/>
            <w:gridSpan w:val="3"/>
          </w:tcPr>
          <w:p>
            <w:pPr>
              <w:jc w:val="right"/>
              <w:ind w:right="63"/>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3"/>
          </w:tcPr>
          <w:p>
            <w:pPr>
              <w:jc w:val="right"/>
              <w:ind w:right="143"/>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9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right"/>
              <w:ind w:right="183"/>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53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jc w:val="right"/>
              <w:ind w:right="523"/>
              <w:spacing w:after="0" w:line="111" w:lineRule="exact"/>
              <w:rPr>
                <w:sz w:val="20"/>
                <w:szCs w:val="20"/>
                <w:color w:val="auto"/>
              </w:rPr>
            </w:pPr>
            <w:r>
              <w:rPr>
                <w:rFonts w:ascii="Times New Roman" w:cs="Times New Roman" w:eastAsia="Times New Roman" w:hAnsi="Times New Roman"/>
                <w:sz w:val="10"/>
                <w:szCs w:val="10"/>
                <w:b w:val="1"/>
                <w:bCs w:val="1"/>
                <w:color w:val="auto"/>
              </w:rPr>
              <w:t>2025</w:t>
            </w: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jc w:val="right"/>
              <w:ind w:right="541"/>
              <w:spacing w:after="0" w:line="111" w:lineRule="exact"/>
              <w:rPr>
                <w:sz w:val="20"/>
                <w:szCs w:val="20"/>
                <w:color w:val="auto"/>
              </w:rPr>
            </w:pPr>
            <w:r>
              <w:rPr>
                <w:rFonts w:ascii="Times New Roman" w:cs="Times New Roman" w:eastAsia="Times New Roman" w:hAnsi="Times New Roman"/>
                <w:sz w:val="10"/>
                <w:szCs w:val="10"/>
                <w:b w:val="1"/>
                <w:bCs w:val="1"/>
                <w:color w:val="auto"/>
              </w:rPr>
              <w:t>2024</w:t>
            </w: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jc w:val="right"/>
              <w:ind w:right="524"/>
              <w:spacing w:after="0" w:line="111" w:lineRule="exact"/>
              <w:rPr>
                <w:sz w:val="20"/>
                <w:szCs w:val="20"/>
                <w:color w:val="auto"/>
              </w:rPr>
            </w:pPr>
            <w:r>
              <w:rPr>
                <w:rFonts w:ascii="Times New Roman" w:cs="Times New Roman" w:eastAsia="Times New Roman" w:hAnsi="Times New Roman"/>
                <w:sz w:val="10"/>
                <w:szCs w:val="10"/>
                <w:b w:val="1"/>
                <w:bCs w:val="1"/>
                <w:color w:val="auto"/>
              </w:rPr>
              <w:t>2025</w:t>
            </w: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jc w:val="right"/>
              <w:ind w:right="541"/>
              <w:spacing w:after="0" w:line="111" w:lineRule="exact"/>
              <w:rPr>
                <w:sz w:val="20"/>
                <w:szCs w:val="20"/>
                <w:color w:val="auto"/>
              </w:rPr>
            </w:pPr>
            <w:r>
              <w:rPr>
                <w:rFonts w:ascii="Times New Roman" w:cs="Times New Roman" w:eastAsia="Times New Roman" w:hAnsi="Times New Roman"/>
                <w:sz w:val="10"/>
                <w:szCs w:val="10"/>
                <w:b w:val="1"/>
                <w:bCs w:val="1"/>
                <w:color w:val="auto"/>
              </w:rPr>
              <w:t>2024</w:t>
            </w:r>
          </w:p>
        </w:tc>
        <w:tc>
          <w:tcPr>
            <w:tcW w:w="0" w:type="dxa"/>
            <w:vAlign w:val="bottom"/>
          </w:tcPr>
          <w:p>
            <w:pPr>
              <w:spacing w:after="0"/>
              <w:rPr>
                <w:sz w:val="1"/>
                <w:szCs w:val="1"/>
                <w:color w:val="auto"/>
              </w:rPr>
            </w:pPr>
          </w:p>
        </w:tc>
      </w:tr>
      <w:tr>
        <w:trPr>
          <w:trHeight w:val="129"/>
        </w:trPr>
        <w:tc>
          <w:tcPr>
            <w:tcW w:w="51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Rialto Cinemas</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ind w:right="3"/>
              <w:spacing w:after="0" w:line="129" w:lineRule="exact"/>
              <w:rPr>
                <w:sz w:val="20"/>
                <w:szCs w:val="20"/>
                <w:color w:val="auto"/>
              </w:rPr>
            </w:pPr>
            <w:r>
              <w:rPr>
                <w:rFonts w:ascii="Times New Roman" w:cs="Times New Roman" w:eastAsia="Times New Roman" w:hAnsi="Times New Roman"/>
                <w:sz w:val="12"/>
                <w:szCs w:val="12"/>
                <w:color w:val="auto"/>
              </w:rPr>
              <w:t>(51)</w:t>
            </w:r>
          </w:p>
        </w:tc>
        <w:tc>
          <w:tcPr>
            <w:tcW w:w="1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(71)</w:t>
            </w:r>
          </w:p>
        </w:tc>
        <w:tc>
          <w:tcPr>
            <w:tcW w:w="1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w:t>
            </w:r>
          </w:p>
        </w:tc>
        <w:tc>
          <w:tcPr>
            <w:tcW w:w="1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(149)</w:t>
            </w:r>
          </w:p>
        </w:tc>
        <w:tc>
          <w:tcPr>
            <w:tcW w:w="0" w:type="dxa"/>
            <w:vAlign w:val="bottom"/>
          </w:tcPr>
          <w:p>
            <w:pPr>
              <w:spacing w:after="0"/>
              <w:rPr>
                <w:sz w:val="1"/>
                <w:szCs w:val="1"/>
                <w:color w:val="auto"/>
              </w:rPr>
            </w:pPr>
          </w:p>
        </w:tc>
      </w:tr>
      <w:tr>
        <w:trPr>
          <w:trHeight w:val="130"/>
        </w:trPr>
        <w:tc>
          <w:tcPr>
            <w:tcW w:w="5320" w:type="dxa"/>
            <w:vAlign w:val="bottom"/>
            <w:tcBorders>
              <w:bottom w:val="single" w:sz="8" w:color="CCEEFF"/>
            </w:tcBorders>
            <w:gridSpan w:val="2"/>
          </w:tcPr>
          <w:p>
            <w:pPr>
              <w:spacing w:after="0" w:line="130" w:lineRule="exact"/>
              <w:rPr>
                <w:sz w:val="20"/>
                <w:szCs w:val="20"/>
                <w:color w:val="auto"/>
              </w:rPr>
            </w:pPr>
            <w:r>
              <w:rPr>
                <w:rFonts w:ascii="Times New Roman" w:cs="Times New Roman" w:eastAsia="Times New Roman" w:hAnsi="Times New Roman"/>
                <w:sz w:val="12"/>
                <w:szCs w:val="12"/>
                <w:color w:val="auto"/>
              </w:rPr>
              <w:t>Mt. Gravatt</w:t>
            </w: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3"/>
              <w:spacing w:after="0" w:line="130" w:lineRule="exact"/>
              <w:rPr>
                <w:sz w:val="20"/>
                <w:szCs w:val="20"/>
                <w:color w:val="auto"/>
              </w:rPr>
            </w:pPr>
            <w:r>
              <w:rPr>
                <w:rFonts w:ascii="Times New Roman" w:cs="Times New Roman" w:eastAsia="Times New Roman" w:hAnsi="Times New Roman"/>
                <w:sz w:val="12"/>
                <w:szCs w:val="12"/>
                <w:color w:val="auto"/>
              </w:rPr>
              <w:t>172</w:t>
            </w:r>
          </w:p>
        </w:tc>
        <w:tc>
          <w:tcPr>
            <w:tcW w:w="16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142</w:t>
            </w:r>
          </w:p>
        </w:tc>
        <w:tc>
          <w:tcPr>
            <w:tcW w:w="1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432</w:t>
            </w:r>
          </w:p>
        </w:tc>
        <w:tc>
          <w:tcPr>
            <w:tcW w:w="1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313</w:t>
            </w:r>
          </w:p>
        </w:tc>
        <w:tc>
          <w:tcPr>
            <w:tcW w:w="0" w:type="dxa"/>
            <w:vAlign w:val="bottom"/>
          </w:tcPr>
          <w:p>
            <w:pPr>
              <w:spacing w:after="0"/>
              <w:rPr>
                <w:sz w:val="1"/>
                <w:szCs w:val="1"/>
                <w:color w:val="auto"/>
              </w:rPr>
            </w:pPr>
          </w:p>
        </w:tc>
      </w:tr>
      <w:tr>
        <w:trPr>
          <w:trHeight w:val="120"/>
        </w:trPr>
        <w:tc>
          <w:tcPr>
            <w:tcW w:w="5320" w:type="dxa"/>
            <w:vAlign w:val="bottom"/>
            <w:tcBorders>
              <w:bottom w:val="single" w:sz="8" w:color="CCEEFF"/>
            </w:tcBorders>
            <w:gridSpan w:val="2"/>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Total equity earnings</w:t>
            </w:r>
          </w:p>
        </w:tc>
        <w:tc>
          <w:tcPr>
            <w:tcW w:w="160" w:type="dxa"/>
            <w:vAlign w:val="bottom"/>
            <w:tcBorders>
              <w:bottom w:val="single" w:sz="8" w:color="auto"/>
            </w:tcBorders>
            <w:shd w:val="clear" w:color="auto" w:fill="CCEEFF"/>
          </w:tcPr>
          <w:p>
            <w:pPr>
              <w:jc w:val="right"/>
              <w:ind w:right="4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121</w:t>
            </w:r>
          </w:p>
        </w:tc>
        <w:tc>
          <w:tcPr>
            <w:tcW w:w="1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ind w:right="30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71</w:t>
            </w:r>
          </w:p>
        </w:tc>
        <w:tc>
          <w:tcPr>
            <w:tcW w:w="16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jc w:val="right"/>
              <w:ind w:right="20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428</w:t>
            </w:r>
          </w:p>
        </w:tc>
        <w:tc>
          <w:tcPr>
            <w:tcW w:w="18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ind w:right="34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164</w:t>
            </w:r>
          </w:p>
        </w:tc>
        <w:tc>
          <w:tcPr>
            <w:tcW w:w="0" w:type="dxa"/>
            <w:vAlign w:val="bottom"/>
          </w:tcPr>
          <w:p>
            <w:pPr>
              <w:spacing w:after="0"/>
              <w:rPr>
                <w:sz w:val="1"/>
                <w:szCs w:val="1"/>
                <w:color w:val="auto"/>
              </w:rPr>
            </w:pPr>
          </w:p>
        </w:tc>
      </w:tr>
      <w:tr>
        <w:trPr>
          <w:trHeight w:val="407"/>
        </w:trPr>
        <w:tc>
          <w:tcPr>
            <w:tcW w:w="5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923"/>
              <w:spacing w:after="0"/>
              <w:rPr>
                <w:sz w:val="20"/>
                <w:szCs w:val="20"/>
                <w:color w:val="auto"/>
              </w:rPr>
            </w:pPr>
            <w:r>
              <w:rPr>
                <w:rFonts w:ascii="Times New Roman" w:cs="Times New Roman" w:eastAsia="Times New Roman" w:hAnsi="Times New Roman"/>
                <w:sz w:val="12"/>
                <w:szCs w:val="12"/>
                <w:color w:val="auto"/>
              </w:rPr>
              <w:t>18</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7152640</wp:posOffset>
            </wp:positionH>
            <wp:positionV relativeFrom="paragraph">
              <wp:posOffset>-24130</wp:posOffset>
            </wp:positionV>
            <wp:extent cx="3111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-24130</wp:posOffset>
            </wp:positionV>
            <wp:extent cx="3111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00"/>
          </w:cols>
          <w:pgMar w:left="300" w:top="248"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b w:val="1"/>
          <w:bCs w:val="1"/>
          <w:color w:val="auto"/>
        </w:rPr>
        <w:t>Note 11 – Prepaid and Other Assets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Prepaid and other assets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8"/>
        </w:trPr>
        <w:tc>
          <w:tcPr>
            <w:tcW w:w="820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2025</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9"/>
        </w:trPr>
        <w:tc>
          <w:tcPr>
            <w:tcW w:w="82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Prepaid and other current assets</w:t>
            </w:r>
          </w:p>
        </w:tc>
        <w:tc>
          <w:tcPr>
            <w:tcW w:w="16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r>
      <w:tr>
        <w:trPr>
          <w:trHeight w:val="130"/>
        </w:trPr>
        <w:tc>
          <w:tcPr>
            <w:tcW w:w="820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auto"/>
              </w:rPr>
              <w:t>Prepaid expenses</w:t>
            </w:r>
          </w:p>
        </w:tc>
        <w:tc>
          <w:tcPr>
            <w:tcW w:w="1160" w:type="dxa"/>
            <w:vAlign w:val="bottom"/>
            <w:gridSpan w:val="2"/>
          </w:tcPr>
          <w:p>
            <w:pPr>
              <w:jc w:val="right"/>
              <w:ind w:right="862"/>
              <w:spacing w:after="0" w:line="130"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1,149</w:t>
            </w:r>
          </w:p>
        </w:tc>
        <w:tc>
          <w:tcPr>
            <w:tcW w:w="160" w:type="dxa"/>
            <w:vAlign w:val="bottom"/>
          </w:tcPr>
          <w:p>
            <w:pPr>
              <w:spacing w:after="0"/>
              <w:rPr>
                <w:sz w:val="11"/>
                <w:szCs w:val="11"/>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1,473</w:t>
            </w:r>
          </w:p>
        </w:tc>
      </w:tr>
      <w:tr>
        <w:trPr>
          <w:trHeight w:val="130"/>
        </w:trPr>
        <w:tc>
          <w:tcPr>
            <w:tcW w:w="8200" w:type="dxa"/>
            <w:vAlign w:val="bottom"/>
            <w:shd w:val="clear" w:color="auto" w:fill="CCEEFF"/>
          </w:tcPr>
          <w:p>
            <w:pPr>
              <w:ind w:left="60"/>
              <w:spacing w:after="0" w:line="130" w:lineRule="exact"/>
              <w:rPr>
                <w:sz w:val="20"/>
                <w:szCs w:val="20"/>
                <w:color w:val="auto"/>
              </w:rPr>
            </w:pPr>
            <w:r>
              <w:rPr>
                <w:rFonts w:ascii="Times New Roman" w:cs="Times New Roman" w:eastAsia="Times New Roman" w:hAnsi="Times New Roman"/>
                <w:sz w:val="12"/>
                <w:szCs w:val="12"/>
                <w:color w:val="auto"/>
              </w:rPr>
              <w:t>Prepaid taxes</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1,873</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853</w:t>
            </w:r>
          </w:p>
        </w:tc>
      </w:tr>
      <w:tr>
        <w:trPr>
          <w:trHeight w:val="130"/>
        </w:trPr>
        <w:tc>
          <w:tcPr>
            <w:tcW w:w="820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auto"/>
              </w:rPr>
              <w:t>Prepaid rent</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11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14</w:t>
            </w:r>
          </w:p>
        </w:tc>
      </w:tr>
      <w:tr>
        <w:trPr>
          <w:trHeight w:val="130"/>
        </w:trPr>
        <w:tc>
          <w:tcPr>
            <w:tcW w:w="8200" w:type="dxa"/>
            <w:vAlign w:val="bottom"/>
            <w:shd w:val="clear" w:color="auto" w:fill="CCEEFF"/>
          </w:tcPr>
          <w:p>
            <w:pPr>
              <w:ind w:left="60"/>
              <w:spacing w:after="0" w:line="130" w:lineRule="exact"/>
              <w:rPr>
                <w:sz w:val="20"/>
                <w:szCs w:val="20"/>
                <w:color w:val="auto"/>
              </w:rPr>
            </w:pPr>
            <w:r>
              <w:rPr>
                <w:rFonts w:ascii="Times New Roman" w:cs="Times New Roman" w:eastAsia="Times New Roman" w:hAnsi="Times New Roman"/>
                <w:sz w:val="12"/>
                <w:szCs w:val="12"/>
                <w:color w:val="auto"/>
              </w:rPr>
              <w:t>Deposits</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333</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314</w:t>
            </w:r>
          </w:p>
        </w:tc>
      </w:tr>
      <w:tr>
        <w:trPr>
          <w:trHeight w:val="130"/>
        </w:trPr>
        <w:tc>
          <w:tcPr>
            <w:tcW w:w="8200" w:type="dxa"/>
            <w:vAlign w:val="bottom"/>
            <w:tcBorders>
              <w:bottom w:val="single" w:sz="8" w:color="CCEEFF"/>
            </w:tcBorders>
          </w:tcPr>
          <w:p>
            <w:pPr>
              <w:ind w:left="60"/>
              <w:spacing w:after="0" w:line="130" w:lineRule="exact"/>
              <w:rPr>
                <w:sz w:val="20"/>
                <w:szCs w:val="20"/>
                <w:color w:val="auto"/>
              </w:rPr>
            </w:pPr>
            <w:r>
              <w:rPr>
                <w:rFonts w:ascii="Times New Roman" w:cs="Times New Roman" w:eastAsia="Times New Roman" w:hAnsi="Times New Roman"/>
                <w:sz w:val="12"/>
                <w:szCs w:val="12"/>
                <w:color w:val="auto"/>
              </w:rPr>
              <w:t>Investments in marketable securities</w:t>
            </w:r>
          </w:p>
        </w:tc>
        <w:tc>
          <w:tcPr>
            <w:tcW w:w="16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13</w:t>
            </w: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14</w:t>
            </w:r>
          </w:p>
        </w:tc>
      </w:tr>
      <w:tr>
        <w:trPr>
          <w:trHeight w:val="140"/>
        </w:trPr>
        <w:tc>
          <w:tcPr>
            <w:tcW w:w="8200" w:type="dxa"/>
            <w:vAlign w:val="bottom"/>
            <w:tcBorders>
              <w:bottom w:val="single" w:sz="8" w:color="CCEEFF"/>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Total prepaid and other current assets</w:t>
            </w:r>
          </w:p>
        </w:tc>
        <w:tc>
          <w:tcPr>
            <w:tcW w:w="1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862"/>
              <w:spacing w:after="0" w:line="120"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3,368</w:t>
            </w:r>
          </w:p>
        </w:tc>
        <w:tc>
          <w:tcPr>
            <w:tcW w:w="1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2,668</w:t>
            </w:r>
          </w:p>
        </w:tc>
      </w:tr>
      <w:tr>
        <w:trPr>
          <w:trHeight w:val="109"/>
        </w:trPr>
        <w:tc>
          <w:tcPr>
            <w:tcW w:w="820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Other non-current assets</w:t>
            </w: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130"/>
        </w:trPr>
        <w:tc>
          <w:tcPr>
            <w:tcW w:w="8200" w:type="dxa"/>
            <w:vAlign w:val="bottom"/>
            <w:shd w:val="clear" w:color="auto" w:fill="CCEEFF"/>
          </w:tcPr>
          <w:p>
            <w:pPr>
              <w:ind w:left="60"/>
              <w:spacing w:after="0" w:line="130" w:lineRule="exact"/>
              <w:rPr>
                <w:sz w:val="20"/>
                <w:szCs w:val="20"/>
                <w:color w:val="auto"/>
              </w:rPr>
            </w:pPr>
            <w:r>
              <w:rPr>
                <w:rFonts w:ascii="Times New Roman" w:cs="Times New Roman" w:eastAsia="Times New Roman" w:hAnsi="Times New Roman"/>
                <w:sz w:val="12"/>
                <w:szCs w:val="12"/>
                <w:color w:val="auto"/>
              </w:rPr>
              <w:t>Other non-cinema and non-rental real estate assets</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674</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674</w:t>
            </w:r>
          </w:p>
        </w:tc>
      </w:tr>
      <w:tr>
        <w:trPr>
          <w:trHeight w:val="130"/>
        </w:trPr>
        <w:tc>
          <w:tcPr>
            <w:tcW w:w="820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auto"/>
              </w:rPr>
              <w:t>Investment in Reading International Trust I</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838</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838</w:t>
            </w:r>
          </w:p>
        </w:tc>
      </w:tr>
      <w:tr>
        <w:trPr>
          <w:trHeight w:val="130"/>
        </w:trPr>
        <w:tc>
          <w:tcPr>
            <w:tcW w:w="8200" w:type="dxa"/>
            <w:vAlign w:val="bottom"/>
            <w:shd w:val="clear" w:color="auto" w:fill="CCEEFF"/>
          </w:tcPr>
          <w:p>
            <w:pPr>
              <w:ind w:left="60"/>
              <w:spacing w:after="0" w:line="130" w:lineRule="exact"/>
              <w:rPr>
                <w:sz w:val="20"/>
                <w:szCs w:val="20"/>
                <w:color w:val="auto"/>
              </w:rPr>
            </w:pPr>
            <w:r>
              <w:rPr>
                <w:rFonts w:ascii="Times New Roman" w:cs="Times New Roman" w:eastAsia="Times New Roman" w:hAnsi="Times New Roman"/>
                <w:sz w:val="12"/>
                <w:szCs w:val="12"/>
                <w:color w:val="auto"/>
              </w:rPr>
              <w:t>Straight-line rent asset</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w w:val="96"/>
              </w:rPr>
              <w:t>11,212</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7,279</w:t>
            </w:r>
          </w:p>
        </w:tc>
      </w:tr>
      <w:tr>
        <w:trPr>
          <w:trHeight w:val="130"/>
        </w:trPr>
        <w:tc>
          <w:tcPr>
            <w:tcW w:w="820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auto"/>
              </w:rPr>
              <w:t>Long-term deposits</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8</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8</w:t>
            </w:r>
          </w:p>
        </w:tc>
      </w:tr>
      <w:tr>
        <w:trPr>
          <w:trHeight w:val="130"/>
        </w:trPr>
        <w:tc>
          <w:tcPr>
            <w:tcW w:w="8200" w:type="dxa"/>
            <w:vAlign w:val="bottom"/>
            <w:shd w:val="clear" w:color="auto" w:fill="CCEEFF"/>
          </w:tcPr>
          <w:p>
            <w:pPr>
              <w:ind w:left="60"/>
              <w:spacing w:after="0" w:line="130" w:lineRule="exact"/>
              <w:rPr>
                <w:sz w:val="20"/>
                <w:szCs w:val="20"/>
                <w:color w:val="auto"/>
              </w:rPr>
            </w:pPr>
            <w:r>
              <w:rPr>
                <w:rFonts w:ascii="Times New Roman" w:cs="Times New Roman" w:eastAsia="Times New Roman" w:hAnsi="Times New Roman"/>
                <w:sz w:val="12"/>
                <w:szCs w:val="12"/>
                <w:color w:val="auto"/>
              </w:rPr>
              <w:t>Other</w:t>
            </w:r>
          </w:p>
        </w:tc>
        <w:tc>
          <w:tcPr>
            <w:tcW w:w="160" w:type="dxa"/>
            <w:vAlign w:val="bottom"/>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397</w:t>
            </w:r>
          </w:p>
        </w:tc>
        <w:tc>
          <w:tcPr>
            <w:tcW w:w="1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r>
      <w:tr>
        <w:trPr>
          <w:trHeight w:val="120"/>
        </w:trPr>
        <w:tc>
          <w:tcPr>
            <w:tcW w:w="8200" w:type="dxa"/>
            <w:vAlign w:val="bottom"/>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Total other non-current assets</w:t>
            </w:r>
          </w:p>
        </w:tc>
        <w:tc>
          <w:tcPr>
            <w:tcW w:w="160" w:type="dxa"/>
            <w:vAlign w:val="bottom"/>
          </w:tcPr>
          <w:p>
            <w:pPr>
              <w:spacing w:after="0"/>
              <w:rPr>
                <w:sz w:val="10"/>
                <w:szCs w:val="10"/>
                <w:color w:val="auto"/>
              </w:rPr>
            </w:pPr>
          </w:p>
        </w:tc>
        <w:tc>
          <w:tcPr>
            <w:tcW w:w="1000" w:type="dxa"/>
            <w:vAlign w:val="bottom"/>
            <w:tcBorders>
              <w:bottom w:val="single" w:sz="8" w:color="auto"/>
            </w:tcBorders>
          </w:tcPr>
          <w:p>
            <w:pPr>
              <w:jc w:val="right"/>
              <w:ind w:right="862"/>
              <w:spacing w:after="0" w:line="120"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w w:val="96"/>
              </w:rPr>
              <w:t>13,129</w:t>
            </w:r>
          </w:p>
        </w:tc>
        <w:tc>
          <w:tcPr>
            <w:tcW w:w="160" w:type="dxa"/>
            <w:vAlign w:val="bottom"/>
          </w:tcPr>
          <w:p>
            <w:pPr>
              <w:spacing w:after="0"/>
              <w:rPr>
                <w:sz w:val="10"/>
                <w:szCs w:val="10"/>
                <w:color w:val="auto"/>
              </w:rPr>
            </w:pPr>
          </w:p>
        </w:tc>
        <w:tc>
          <w:tcPr>
            <w:tcW w:w="240" w:type="dxa"/>
            <w:vAlign w:val="bottom"/>
            <w:tcBorders>
              <w:bottom w:val="single" w:sz="8" w:color="auto"/>
            </w:tcBorders>
          </w:tcPr>
          <w:p>
            <w:pPr>
              <w:jc w:val="right"/>
              <w:ind w:right="12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8,799</w:t>
            </w: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12 – Income Taxes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color w:val="auto"/>
        </w:rPr>
        <w:t>An income tax expense of $1.1 million and $0.3 million were recognized during the nine months ended September 30, 2025 and 2024, respectively. The tax expense for each of the nine-month periods ended September 30, 2025 and 2024 is primarily resulted from year-to-date consolidated losses, offset with adjustments relating to valuation allowances on deferred tax assets in the U.S. and New Zealand.</w:t>
      </w:r>
    </w:p>
    <w:p>
      <w:pPr>
        <w:spacing w:after="0" w:line="9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2"/>
          <w:szCs w:val="12"/>
          <w:color w:val="auto"/>
        </w:rPr>
        <w:t>On July 4, 2025, the One Big Beautiful Bill Act (“OBBBA”) was enacted in the United States. The OBBBA includes significant tax law changes, including the permanent extension of certain provisions from the Tax Cuts and Jobs Act, modifications to the international tax framework, and the reinstatement of favorable business tax provisions. These include 100% bonus depreciation, immediate expensing of Section 174 domestic research and experimental expenditures, and revised limitations under Section 163(j) on the deductibility of business interest expense. The legislation has multiple effective dates, with certain provisions effective beginning in 2025, and others implemented through 2027. The OBBBA does not have a material effect on the Company's consolidated financial statements for the year ending December 31, 2025.</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13 – Borrowings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Company’s borrowings at September 30, 2025 and December 31, 2024, net of deferred financing costs and including the impact of interest rate derivatives on effective interest rates, are summarized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0"/>
                <w:szCs w:val="10"/>
                <w:b w:val="1"/>
                <w:bCs w:val="1"/>
                <w:color w:val="auto"/>
              </w:rPr>
              <w:t>As of September 30, 2025</w:t>
            </w:r>
          </w:p>
        </w:tc>
        <w:tc>
          <w:tcPr>
            <w:tcW w:w="6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Balance,</w:t>
            </w: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rPr>
              <w:t>Effective</w:t>
            </w:r>
          </w:p>
        </w:tc>
        <w:tc>
          <w:tcPr>
            <w:tcW w:w="0" w:type="dxa"/>
            <w:vAlign w:val="bottom"/>
          </w:tcPr>
          <w:p>
            <w:pPr>
              <w:spacing w:after="0"/>
              <w:rPr>
                <w:sz w:val="1"/>
                <w:szCs w:val="1"/>
                <w:color w:val="auto"/>
              </w:rPr>
            </w:pPr>
          </w:p>
        </w:tc>
      </w:tr>
      <w:tr>
        <w:trPr>
          <w:trHeight w:val="100"/>
        </w:trPr>
        <w:tc>
          <w:tcPr>
            <w:tcW w:w="3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tcPr>
          <w:p>
            <w:pPr>
              <w:jc w:val="center"/>
              <w:ind w:right="200"/>
              <w:spacing w:after="0" w:line="101" w:lineRule="exact"/>
              <w:rPr>
                <w:sz w:val="20"/>
                <w:szCs w:val="20"/>
                <w:color w:val="auto"/>
              </w:rPr>
            </w:pPr>
            <w:r>
              <w:rPr>
                <w:rFonts w:ascii="Times New Roman" w:cs="Times New Roman" w:eastAsia="Times New Roman" w:hAnsi="Times New Roman"/>
                <w:sz w:val="10"/>
                <w:szCs w:val="10"/>
                <w:b w:val="1"/>
                <w:bCs w:val="1"/>
                <w:color w:val="auto"/>
                <w:w w:val="96"/>
              </w:rPr>
              <w:t>Contractual</w:t>
            </w: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2"/>
          </w:tcPr>
          <w:p>
            <w:pPr>
              <w:jc w:val="center"/>
              <w:ind w:right="240"/>
              <w:spacing w:after="0" w:line="101" w:lineRule="exact"/>
              <w:rPr>
                <w:sz w:val="20"/>
                <w:szCs w:val="20"/>
                <w:color w:val="auto"/>
              </w:rPr>
            </w:pPr>
            <w:r>
              <w:rPr>
                <w:rFonts w:ascii="Times New Roman" w:cs="Times New Roman" w:eastAsia="Times New Roman" w:hAnsi="Times New Roman"/>
                <w:sz w:val="10"/>
                <w:szCs w:val="10"/>
                <w:b w:val="1"/>
                <w:bCs w:val="1"/>
                <w:color w:val="auto"/>
              </w:rPr>
              <w:t>Balance,</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40" w:type="dxa"/>
            <w:vAlign w:val="bottom"/>
            <w:gridSpan w:val="3"/>
          </w:tcPr>
          <w:p>
            <w:pPr>
              <w:ind w:left="440"/>
              <w:spacing w:after="0" w:line="101" w:lineRule="exact"/>
              <w:rPr>
                <w:sz w:val="20"/>
                <w:szCs w:val="20"/>
                <w:color w:val="auto"/>
              </w:rPr>
            </w:pPr>
            <w:r>
              <w:rPr>
                <w:rFonts w:ascii="Times New Roman" w:cs="Times New Roman" w:eastAsia="Times New Roman" w:hAnsi="Times New Roman"/>
                <w:sz w:val="10"/>
                <w:szCs w:val="10"/>
                <w:b w:val="1"/>
                <w:bCs w:val="1"/>
                <w:color w:val="auto"/>
              </w:rPr>
              <w:t>Stated</w:t>
            </w:r>
          </w:p>
        </w:tc>
        <w:tc>
          <w:tcPr>
            <w:tcW w:w="1140" w:type="dxa"/>
            <w:vAlign w:val="bottom"/>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w w:val="95"/>
              </w:rPr>
              <w:t>‎Interest</w:t>
            </w:r>
          </w:p>
        </w:tc>
        <w:tc>
          <w:tcPr>
            <w:tcW w:w="0" w:type="dxa"/>
            <w:vAlign w:val="bottom"/>
          </w:tcPr>
          <w:p>
            <w:pPr>
              <w:spacing w:after="0"/>
              <w:rPr>
                <w:sz w:val="1"/>
                <w:szCs w:val="1"/>
                <w:color w:val="auto"/>
              </w:rPr>
            </w:pPr>
          </w:p>
        </w:tc>
      </w:tr>
      <w:tr>
        <w:trPr>
          <w:trHeight w:val="130"/>
        </w:trPr>
        <w:tc>
          <w:tcPr>
            <w:tcW w:w="40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Maturity Date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Facility‎</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Gross‎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440"/>
              <w:spacing w:after="0" w:line="131" w:lineRule="exact"/>
              <w:rPr>
                <w:sz w:val="20"/>
                <w:szCs w:val="20"/>
                <w:color w:val="auto"/>
              </w:rPr>
            </w:pPr>
            <w:r>
              <w:rPr>
                <w:rFonts w:ascii="Times New Roman" w:cs="Times New Roman" w:eastAsia="Times New Roman" w:hAnsi="Times New Roman"/>
                <w:sz w:val="9"/>
                <w:szCs w:val="9"/>
                <w:b w:val="1"/>
                <w:bCs w:val="1"/>
                <w:color w:val="auto"/>
              </w:rPr>
              <w:t>‎Net</w:t>
            </w:r>
            <w:r>
              <w:rPr>
                <w:rFonts w:ascii="Times New Roman" w:cs="Times New Roman" w:eastAsia="Times New Roman" w:hAnsi="Times New Roman"/>
                <w:sz w:val="15"/>
                <w:szCs w:val="15"/>
                <w:b w:val="1"/>
                <w:bCs w:val="1"/>
                <w:color w:val="auto"/>
                <w:vertAlign w:val="superscript"/>
              </w:rPr>
              <w:t>(1)</w:t>
            </w: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b w:val="1"/>
                <w:bCs w:val="1"/>
                <w:color w:val="auto"/>
                <w:w w:val="95"/>
              </w:rPr>
              <w:t>Interest‎</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Rate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‎Rate</w:t>
            </w:r>
          </w:p>
        </w:tc>
        <w:tc>
          <w:tcPr>
            <w:tcW w:w="0" w:type="dxa"/>
            <w:vAlign w:val="bottom"/>
          </w:tcPr>
          <w:p>
            <w:pPr>
              <w:spacing w:after="0"/>
              <w:rPr>
                <w:sz w:val="1"/>
                <w:szCs w:val="1"/>
                <w:color w:val="auto"/>
              </w:rPr>
            </w:pPr>
          </w:p>
        </w:tc>
      </w:tr>
      <w:tr>
        <w:trPr>
          <w:trHeight w:val="110"/>
        </w:trPr>
        <w:tc>
          <w:tcPr>
            <w:tcW w:w="3940" w:type="dxa"/>
            <w:vAlign w:val="bottom"/>
            <w:tcBorders>
              <w:top w:val="single" w:sz="8" w:color="auto"/>
            </w:tcBorders>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Denominated in USD</w:t>
            </w:r>
          </w:p>
        </w:tc>
        <w:tc>
          <w:tcPr>
            <w:tcW w:w="100" w:type="dxa"/>
            <w:vAlign w:val="bottom"/>
            <w:tcBorders>
              <w:top w:val="single" w:sz="8" w:color="CCEEFF"/>
            </w:tcBorders>
            <w:shd w:val="clear" w:color="auto" w:fill="CCEEFF"/>
          </w:tcPr>
          <w:p>
            <w:pPr>
              <w:spacing w:after="0"/>
              <w:rPr>
                <w:sz w:val="9"/>
                <w:szCs w:val="9"/>
                <w:color w:val="auto"/>
              </w:rPr>
            </w:pPr>
          </w:p>
        </w:tc>
        <w:tc>
          <w:tcPr>
            <w:tcW w:w="1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040" w:type="dxa"/>
            <w:vAlign w:val="bottom"/>
            <w:gridSpan w:val="2"/>
          </w:tcPr>
          <w:p>
            <w:pPr>
              <w:ind w:left="60"/>
              <w:spacing w:after="0" w:line="112" w:lineRule="exact"/>
              <w:rPr>
                <w:sz w:val="20"/>
                <w:szCs w:val="20"/>
                <w:color w:val="auto"/>
              </w:rPr>
            </w:pPr>
            <w:r>
              <w:rPr>
                <w:rFonts w:ascii="Times New Roman" w:cs="Times New Roman" w:eastAsia="Times New Roman" w:hAnsi="Times New Roman"/>
                <w:sz w:val="10"/>
                <w:szCs w:val="10"/>
                <w:color w:val="auto"/>
              </w:rPr>
              <w:t>Minetta &amp; Orpheum Theatres Loan (US)</w:t>
            </w:r>
          </w:p>
        </w:tc>
        <w:tc>
          <w:tcPr>
            <w:tcW w:w="154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w w:val="98"/>
              </w:rPr>
              <w:t>June 1, 2026</w:t>
            </w:r>
          </w:p>
        </w:tc>
        <w:tc>
          <w:tcPr>
            <w:tcW w:w="240" w:type="dxa"/>
            <w:vAlign w:val="bottom"/>
            <w:gridSpan w:val="2"/>
          </w:tcPr>
          <w:p>
            <w:pPr>
              <w:jc w:val="right"/>
              <w:ind w:right="50"/>
              <w:spacing w:after="0" w:line="112"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jc w:val="right"/>
              <w:ind w:right="40"/>
              <w:spacing w:after="0" w:line="112" w:lineRule="exact"/>
              <w:rPr>
                <w:sz w:val="20"/>
                <w:szCs w:val="20"/>
                <w:color w:val="auto"/>
              </w:rPr>
            </w:pPr>
            <w:r>
              <w:rPr>
                <w:rFonts w:ascii="Times New Roman" w:cs="Times New Roman" w:eastAsia="Times New Roman" w:hAnsi="Times New Roman"/>
                <w:sz w:val="10"/>
                <w:szCs w:val="10"/>
                <w:color w:val="auto"/>
              </w:rPr>
              <w:t>7,117</w:t>
            </w:r>
          </w:p>
        </w:tc>
        <w:tc>
          <w:tcPr>
            <w:tcW w:w="240" w:type="dxa"/>
            <w:vAlign w:val="bottom"/>
            <w:gridSpan w:val="2"/>
          </w:tcPr>
          <w:p>
            <w:pPr>
              <w:jc w:val="right"/>
              <w:ind w:right="90"/>
              <w:spacing w:after="0" w:line="112"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7,117</w:t>
            </w:r>
          </w:p>
        </w:tc>
        <w:tc>
          <w:tcPr>
            <w:tcW w:w="40" w:type="dxa"/>
            <w:vAlign w:val="bottom"/>
          </w:tcPr>
          <w:p>
            <w:pPr>
              <w:spacing w:after="0"/>
              <w:rPr>
                <w:sz w:val="9"/>
                <w:szCs w:val="9"/>
                <w:color w:val="auto"/>
              </w:rPr>
            </w:pPr>
          </w:p>
        </w:tc>
        <w:tc>
          <w:tcPr>
            <w:tcW w:w="220" w:type="dxa"/>
            <w:vAlign w:val="bottom"/>
            <w:gridSpan w:val="2"/>
          </w:tcPr>
          <w:p>
            <w:pPr>
              <w:jc w:val="right"/>
              <w:ind w:right="115"/>
              <w:spacing w:after="0" w:line="112"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7,101</w:t>
            </w:r>
          </w:p>
        </w:tc>
        <w:tc>
          <w:tcPr>
            <w:tcW w:w="1160" w:type="dxa"/>
            <w:vAlign w:val="bottom"/>
            <w:gridSpan w:val="2"/>
          </w:tcPr>
          <w:p>
            <w:pPr>
              <w:jc w:val="center"/>
              <w:spacing w:after="0" w:line="112" w:lineRule="exact"/>
              <w:rPr>
                <w:sz w:val="20"/>
                <w:szCs w:val="20"/>
                <w:color w:val="auto"/>
              </w:rPr>
            </w:pPr>
            <w:r>
              <w:rPr>
                <w:rFonts w:ascii="Times New Roman" w:cs="Times New Roman" w:eastAsia="Times New Roman" w:hAnsi="Times New Roman"/>
                <w:sz w:val="10"/>
                <w:szCs w:val="10"/>
                <w:color w:val="auto"/>
                <w:w w:val="92"/>
              </w:rPr>
              <w:t>7.00%</w:t>
            </w:r>
          </w:p>
        </w:tc>
        <w:tc>
          <w:tcPr>
            <w:tcW w:w="80" w:type="dxa"/>
            <w:vAlign w:val="bottom"/>
          </w:tcPr>
          <w:p>
            <w:pPr>
              <w:spacing w:after="0"/>
              <w:rPr>
                <w:sz w:val="9"/>
                <w:szCs w:val="9"/>
                <w:color w:val="auto"/>
              </w:rPr>
            </w:pPr>
          </w:p>
        </w:tc>
        <w:tc>
          <w:tcPr>
            <w:tcW w:w="114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rPr>
              <w:t>7.00%</w:t>
            </w:r>
          </w:p>
        </w:tc>
        <w:tc>
          <w:tcPr>
            <w:tcW w:w="0" w:type="dxa"/>
            <w:vAlign w:val="bottom"/>
          </w:tcPr>
          <w:p>
            <w:pPr>
              <w:spacing w:after="0"/>
              <w:rPr>
                <w:sz w:val="1"/>
                <w:szCs w:val="1"/>
                <w:color w:val="auto"/>
              </w:rPr>
            </w:pPr>
          </w:p>
        </w:tc>
      </w:tr>
      <w:tr>
        <w:trPr>
          <w:trHeight w:val="112"/>
        </w:trPr>
        <w:tc>
          <w:tcPr>
            <w:tcW w:w="4040" w:type="dxa"/>
            <w:vAlign w:val="bottom"/>
            <w:gridSpan w:val="2"/>
            <w:shd w:val="clear" w:color="auto" w:fill="CCEEFF"/>
          </w:tcPr>
          <w:p>
            <w:pPr>
              <w:ind w:left="60"/>
              <w:spacing w:after="0" w:line="112" w:lineRule="exact"/>
              <w:rPr>
                <w:sz w:val="20"/>
                <w:szCs w:val="20"/>
                <w:color w:val="auto"/>
              </w:rPr>
            </w:pPr>
            <w:r>
              <w:rPr>
                <w:rFonts w:ascii="Times New Roman" w:cs="Times New Roman" w:eastAsia="Times New Roman" w:hAnsi="Times New Roman"/>
                <w:sz w:val="10"/>
                <w:szCs w:val="10"/>
                <w:color w:val="auto"/>
              </w:rPr>
              <w:t>Bank of America Credit Facility (US)</w:t>
            </w:r>
          </w:p>
        </w:tc>
        <w:tc>
          <w:tcPr>
            <w:tcW w:w="154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rPr>
              <w:t>May 18, 2026</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40"/>
              <w:spacing w:after="0" w:line="112" w:lineRule="exact"/>
              <w:rPr>
                <w:sz w:val="20"/>
                <w:szCs w:val="20"/>
                <w:color w:val="auto"/>
              </w:rPr>
            </w:pPr>
            <w:r>
              <w:rPr>
                <w:rFonts w:ascii="Times New Roman" w:cs="Times New Roman" w:eastAsia="Times New Roman" w:hAnsi="Times New Roman"/>
                <w:sz w:val="10"/>
                <w:szCs w:val="10"/>
                <w:color w:val="auto"/>
              </w:rPr>
              <w:t>6,700</w:t>
            </w: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40"/>
              <w:spacing w:after="0" w:line="112" w:lineRule="exact"/>
              <w:rPr>
                <w:sz w:val="20"/>
                <w:szCs w:val="20"/>
                <w:color w:val="auto"/>
              </w:rPr>
            </w:pPr>
            <w:r>
              <w:rPr>
                <w:rFonts w:ascii="Times New Roman" w:cs="Times New Roman" w:eastAsia="Times New Roman" w:hAnsi="Times New Roman"/>
                <w:sz w:val="10"/>
                <w:szCs w:val="10"/>
                <w:color w:val="auto"/>
              </w:rPr>
              <w:t>6,700</w:t>
            </w: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6,700</w:t>
            </w:r>
          </w:p>
        </w:tc>
        <w:tc>
          <w:tcPr>
            <w:tcW w:w="1160" w:type="dxa"/>
            <w:vAlign w:val="bottom"/>
            <w:gridSpan w:val="2"/>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rPr>
              <w:t>11.25%</w:t>
            </w:r>
          </w:p>
        </w:tc>
        <w:tc>
          <w:tcPr>
            <w:tcW w:w="80" w:type="dxa"/>
            <w:vAlign w:val="bottom"/>
            <w:shd w:val="clear" w:color="auto" w:fill="CCEEFF"/>
          </w:tcPr>
          <w:p>
            <w:pPr>
              <w:spacing w:after="0"/>
              <w:rPr>
                <w:sz w:val="9"/>
                <w:szCs w:val="9"/>
                <w:color w:val="auto"/>
              </w:rPr>
            </w:pPr>
          </w:p>
        </w:tc>
        <w:tc>
          <w:tcPr>
            <w:tcW w:w="114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w w:val="97"/>
              </w:rPr>
              <w:t>11.25%</w:t>
            </w:r>
          </w:p>
        </w:tc>
        <w:tc>
          <w:tcPr>
            <w:tcW w:w="0" w:type="dxa"/>
            <w:vAlign w:val="bottom"/>
          </w:tcPr>
          <w:p>
            <w:pPr>
              <w:spacing w:after="0"/>
              <w:rPr>
                <w:sz w:val="1"/>
                <w:szCs w:val="1"/>
                <w:color w:val="auto"/>
              </w:rPr>
            </w:pPr>
          </w:p>
        </w:tc>
      </w:tr>
      <w:tr>
        <w:trPr>
          <w:trHeight w:val="140"/>
        </w:trPr>
        <w:tc>
          <w:tcPr>
            <w:tcW w:w="404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0"/>
                <w:szCs w:val="10"/>
                <w:color w:val="auto"/>
              </w:rPr>
              <w:t>Cinemas 1, 2, 3 Term Loan (US) (</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0"/>
                <w:szCs w:val="10"/>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October 1, 2025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20,442</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20,442</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20,442</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w w:val="92"/>
              </w:rPr>
              <w:t>9.32%</w:t>
            </w:r>
          </w:p>
        </w:tc>
        <w:tc>
          <w:tcPr>
            <w:tcW w:w="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9.32%</w:t>
            </w:r>
          </w:p>
        </w:tc>
        <w:tc>
          <w:tcPr>
            <w:tcW w:w="0" w:type="dxa"/>
            <w:vAlign w:val="bottom"/>
          </w:tcPr>
          <w:p>
            <w:pPr>
              <w:spacing w:after="0"/>
              <w:rPr>
                <w:sz w:val="1"/>
                <w:szCs w:val="1"/>
                <w:color w:val="auto"/>
              </w:rPr>
            </w:pPr>
          </w:p>
        </w:tc>
      </w:tr>
      <w:tr>
        <w:trPr>
          <w:trHeight w:val="112"/>
        </w:trPr>
        <w:tc>
          <w:tcPr>
            <w:tcW w:w="4040" w:type="dxa"/>
            <w:vAlign w:val="bottom"/>
            <w:gridSpan w:val="2"/>
            <w:shd w:val="clear" w:color="auto" w:fill="CCEEFF"/>
          </w:tcPr>
          <w:p>
            <w:pPr>
              <w:ind w:left="60"/>
              <w:spacing w:after="0" w:line="112" w:lineRule="exact"/>
              <w:rPr>
                <w:sz w:val="20"/>
                <w:szCs w:val="20"/>
                <w:color w:val="auto"/>
              </w:rPr>
            </w:pPr>
            <w:r>
              <w:rPr>
                <w:rFonts w:ascii="Times New Roman" w:cs="Times New Roman" w:eastAsia="Times New Roman" w:hAnsi="Times New Roman"/>
                <w:sz w:val="10"/>
                <w:szCs w:val="10"/>
                <w:color w:val="auto"/>
              </w:rPr>
              <w:t>Union Square Financing (US)</w:t>
            </w:r>
          </w:p>
        </w:tc>
        <w:tc>
          <w:tcPr>
            <w:tcW w:w="154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w w:val="98"/>
              </w:rPr>
              <w:t>November 6, 2026</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40"/>
              <w:spacing w:after="0" w:line="112" w:lineRule="exact"/>
              <w:rPr>
                <w:sz w:val="20"/>
                <w:szCs w:val="20"/>
                <w:color w:val="auto"/>
              </w:rPr>
            </w:pPr>
            <w:r>
              <w:rPr>
                <w:rFonts w:ascii="Times New Roman" w:cs="Times New Roman" w:eastAsia="Times New Roman" w:hAnsi="Times New Roman"/>
                <w:sz w:val="10"/>
                <w:szCs w:val="10"/>
                <w:color w:val="auto"/>
              </w:rPr>
              <w:t>49,000</w:t>
            </w: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40"/>
              <w:spacing w:after="0" w:line="112" w:lineRule="exact"/>
              <w:rPr>
                <w:sz w:val="20"/>
                <w:szCs w:val="20"/>
                <w:color w:val="auto"/>
              </w:rPr>
            </w:pPr>
            <w:r>
              <w:rPr>
                <w:rFonts w:ascii="Times New Roman" w:cs="Times New Roman" w:eastAsia="Times New Roman" w:hAnsi="Times New Roman"/>
                <w:sz w:val="10"/>
                <w:szCs w:val="10"/>
                <w:color w:val="auto"/>
              </w:rPr>
              <w:t>46,641</w:t>
            </w: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46,047</w:t>
            </w:r>
          </w:p>
        </w:tc>
        <w:tc>
          <w:tcPr>
            <w:tcW w:w="1160" w:type="dxa"/>
            <w:vAlign w:val="bottom"/>
            <w:gridSpan w:val="2"/>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rPr>
              <w:t>11.35%</w:t>
            </w:r>
          </w:p>
        </w:tc>
        <w:tc>
          <w:tcPr>
            <w:tcW w:w="80" w:type="dxa"/>
            <w:vAlign w:val="bottom"/>
            <w:shd w:val="clear" w:color="auto" w:fill="CCEEFF"/>
          </w:tcPr>
          <w:p>
            <w:pPr>
              <w:spacing w:after="0"/>
              <w:rPr>
                <w:sz w:val="9"/>
                <w:szCs w:val="9"/>
                <w:color w:val="auto"/>
              </w:rPr>
            </w:pPr>
          </w:p>
        </w:tc>
        <w:tc>
          <w:tcPr>
            <w:tcW w:w="114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w w:val="97"/>
              </w:rPr>
              <w:t>11.35%</w:t>
            </w:r>
          </w:p>
        </w:tc>
        <w:tc>
          <w:tcPr>
            <w:tcW w:w="0" w:type="dxa"/>
            <w:vAlign w:val="bottom"/>
          </w:tcPr>
          <w:p>
            <w:pPr>
              <w:spacing w:after="0"/>
              <w:rPr>
                <w:sz w:val="1"/>
                <w:szCs w:val="1"/>
                <w:color w:val="auto"/>
              </w:rPr>
            </w:pPr>
          </w:p>
        </w:tc>
      </w:tr>
      <w:tr>
        <w:trPr>
          <w:trHeight w:val="112"/>
        </w:trPr>
        <w:tc>
          <w:tcPr>
            <w:tcW w:w="4040" w:type="dxa"/>
            <w:vAlign w:val="bottom"/>
            <w:gridSpan w:val="2"/>
          </w:tcPr>
          <w:p>
            <w:pPr>
              <w:ind w:left="60"/>
              <w:spacing w:after="0" w:line="112" w:lineRule="exact"/>
              <w:rPr>
                <w:sz w:val="20"/>
                <w:szCs w:val="20"/>
                <w:color w:val="auto"/>
              </w:rPr>
            </w:pPr>
            <w:r>
              <w:rPr>
                <w:rFonts w:ascii="Times New Roman" w:cs="Times New Roman" w:eastAsia="Times New Roman" w:hAnsi="Times New Roman"/>
                <w:sz w:val="10"/>
                <w:szCs w:val="10"/>
                <w:color w:val="auto"/>
              </w:rPr>
              <w:t>Trust Preferred Securities (US)</w:t>
            </w:r>
          </w:p>
        </w:tc>
        <w:tc>
          <w:tcPr>
            <w:tcW w:w="154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w w:val="98"/>
              </w:rPr>
              <w:t>April 30, 2027</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tcPr>
          <w:p>
            <w:pPr>
              <w:jc w:val="right"/>
              <w:ind w:right="40"/>
              <w:spacing w:after="0" w:line="112" w:lineRule="exact"/>
              <w:rPr>
                <w:sz w:val="20"/>
                <w:szCs w:val="20"/>
                <w:color w:val="auto"/>
              </w:rPr>
            </w:pPr>
            <w:r>
              <w:rPr>
                <w:rFonts w:ascii="Times New Roman" w:cs="Times New Roman" w:eastAsia="Times New Roman" w:hAnsi="Times New Roman"/>
                <w:sz w:val="10"/>
                <w:szCs w:val="10"/>
                <w:color w:val="auto"/>
              </w:rPr>
              <w:t>27,913</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tcPr>
          <w:p>
            <w:pPr>
              <w:jc w:val="right"/>
              <w:ind w:right="40"/>
              <w:spacing w:after="0" w:line="112" w:lineRule="exact"/>
              <w:rPr>
                <w:sz w:val="20"/>
                <w:szCs w:val="20"/>
                <w:color w:val="auto"/>
              </w:rPr>
            </w:pPr>
            <w:r>
              <w:rPr>
                <w:rFonts w:ascii="Times New Roman" w:cs="Times New Roman" w:eastAsia="Times New Roman" w:hAnsi="Times New Roman"/>
                <w:sz w:val="10"/>
                <w:szCs w:val="10"/>
                <w:color w:val="auto"/>
              </w:rPr>
              <w:t>27,913</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27,561</w:t>
            </w:r>
          </w:p>
        </w:tc>
        <w:tc>
          <w:tcPr>
            <w:tcW w:w="1160" w:type="dxa"/>
            <w:vAlign w:val="bottom"/>
            <w:gridSpan w:val="2"/>
          </w:tcPr>
          <w:p>
            <w:pPr>
              <w:jc w:val="center"/>
              <w:spacing w:after="0" w:line="112" w:lineRule="exact"/>
              <w:rPr>
                <w:sz w:val="20"/>
                <w:szCs w:val="20"/>
                <w:color w:val="auto"/>
              </w:rPr>
            </w:pPr>
            <w:r>
              <w:rPr>
                <w:rFonts w:ascii="Times New Roman" w:cs="Times New Roman" w:eastAsia="Times New Roman" w:hAnsi="Times New Roman"/>
                <w:sz w:val="10"/>
                <w:szCs w:val="10"/>
                <w:color w:val="auto"/>
                <w:w w:val="92"/>
              </w:rPr>
              <w:t>8.57%</w:t>
            </w:r>
          </w:p>
        </w:tc>
        <w:tc>
          <w:tcPr>
            <w:tcW w:w="80" w:type="dxa"/>
            <w:vAlign w:val="bottom"/>
          </w:tcPr>
          <w:p>
            <w:pPr>
              <w:spacing w:after="0"/>
              <w:rPr>
                <w:sz w:val="9"/>
                <w:szCs w:val="9"/>
                <w:color w:val="auto"/>
              </w:rPr>
            </w:pPr>
          </w:p>
        </w:tc>
        <w:tc>
          <w:tcPr>
            <w:tcW w:w="114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rPr>
              <w:t>8.57%</w:t>
            </w:r>
          </w:p>
        </w:tc>
        <w:tc>
          <w:tcPr>
            <w:tcW w:w="0" w:type="dxa"/>
            <w:vAlign w:val="bottom"/>
          </w:tcPr>
          <w:p>
            <w:pPr>
              <w:spacing w:after="0"/>
              <w:rPr>
                <w:sz w:val="1"/>
                <w:szCs w:val="1"/>
                <w:color w:val="auto"/>
              </w:rPr>
            </w:pPr>
          </w:p>
        </w:tc>
      </w:tr>
      <w:tr>
        <w:trPr>
          <w:trHeight w:val="140"/>
        </w:trPr>
        <w:tc>
          <w:tcPr>
            <w:tcW w:w="404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0"/>
                <w:szCs w:val="10"/>
                <w:color w:val="auto"/>
              </w:rPr>
              <w:t xml:space="preserve">Denominated in foreign currency ("FC") </w:t>
            </w:r>
            <w:r>
              <w:rPr>
                <w:rFonts w:ascii="Times New Roman" w:cs="Times New Roman" w:eastAsia="Times New Roman" w:hAnsi="Times New Roman"/>
                <w:sz w:val="16"/>
                <w:szCs w:val="16"/>
                <w:color w:val="auto"/>
                <w:vertAlign w:val="superscript"/>
              </w:rPr>
              <w:t>(3)</w:t>
            </w: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4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0"/>
                <w:szCs w:val="10"/>
                <w:color w:val="auto"/>
              </w:rPr>
              <w:t>NAB Corporate Term Loan (AU) (</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0"/>
                <w:szCs w:val="10"/>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July 31, 2026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63,825</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63,825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63,762</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w w:val="92"/>
              </w:rPr>
              <w:t>5.35%</w:t>
            </w:r>
          </w:p>
        </w:tc>
        <w:tc>
          <w:tcPr>
            <w:tcW w:w="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5.35%</w:t>
            </w:r>
          </w:p>
        </w:tc>
        <w:tc>
          <w:tcPr>
            <w:tcW w:w="0" w:type="dxa"/>
            <w:vAlign w:val="bottom"/>
          </w:tcPr>
          <w:p>
            <w:pPr>
              <w:spacing w:after="0"/>
              <w:rPr>
                <w:sz w:val="1"/>
                <w:szCs w:val="1"/>
                <w:color w:val="auto"/>
              </w:rPr>
            </w:pPr>
          </w:p>
        </w:tc>
      </w:tr>
      <w:tr>
        <w:trPr>
          <w:trHeight w:val="101"/>
        </w:trPr>
        <w:tc>
          <w:tcPr>
            <w:tcW w:w="394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54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60" w:type="dxa"/>
            <w:vAlign w:val="bottom"/>
            <w:tcBorders>
              <w:top w:val="single" w:sz="8" w:color="auto"/>
              <w:bottom w:val="single" w:sz="8" w:color="auto"/>
            </w:tcBorders>
            <w:shd w:val="clear" w:color="auto" w:fill="CCEEFF"/>
          </w:tcPr>
          <w:p>
            <w:pPr>
              <w:jc w:val="right"/>
              <w:ind w:right="5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174,997</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200" w:type="dxa"/>
            <w:vAlign w:val="bottom"/>
            <w:tcBorders>
              <w:top w:val="single" w:sz="8" w:color="auto"/>
              <w:bottom w:val="single" w:sz="8" w:color="auto"/>
            </w:tcBorders>
            <w:shd w:val="clear" w:color="auto" w:fill="CCEEFF"/>
          </w:tcPr>
          <w:p>
            <w:pPr>
              <w:jc w:val="right"/>
              <w:ind w:right="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172,638</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0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171,613</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640" w:type="dxa"/>
            <w:vAlign w:val="bottom"/>
            <w:tcBorders>
              <w:top w:val="single" w:sz="8" w:color="CCEEFF"/>
              <w:bottom w:val="single" w:sz="8" w:color="CCEEFF"/>
            </w:tcBorders>
            <w:shd w:val="clear" w:color="auto" w:fill="CCEEFF"/>
          </w:tcPr>
          <w:p>
            <w:pPr>
              <w:spacing w:after="0"/>
              <w:rPr>
                <w:sz w:val="8"/>
                <w:szCs w:val="8"/>
                <w:color w:val="auto"/>
              </w:rPr>
            </w:pPr>
          </w:p>
        </w:tc>
        <w:tc>
          <w:tcPr>
            <w:tcW w:w="52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140" w:type="dxa"/>
            <w:vAlign w:val="bottom"/>
            <w:tcBorders>
              <w:top w:val="single" w:sz="8" w:color="CCEEFF"/>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440" w:hanging="222"/>
        <w:spacing w:after="0"/>
        <w:tabs>
          <w:tab w:leader="none" w:pos="44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Net of deferred financing costs amounting to $1.0 million.</w:t>
      </w:r>
    </w:p>
    <w:p>
      <w:pPr>
        <w:ind w:left="440" w:hanging="222"/>
        <w:spacing w:after="0" w:line="233" w:lineRule="auto"/>
        <w:tabs>
          <w:tab w:leader="none" w:pos="44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This facility was extended after September 30, 2025, and now matures on October 1, 2026. See below for discussion.</w:t>
      </w:r>
    </w:p>
    <w:p>
      <w:pPr>
        <w:ind w:left="440" w:hanging="222"/>
        <w:spacing w:after="0" w:line="213" w:lineRule="auto"/>
        <w:tabs>
          <w:tab w:leader="none" w:pos="44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contractual facilities and outstanding balances of the foreign currency denominated borrowings were translated into U.S. dollars based on the applicable exchange rates as of September 30, 2025.</w:t>
      </w:r>
    </w:p>
    <w:p>
      <w:pPr>
        <w:ind w:left="440" w:right="80" w:hanging="222"/>
        <w:spacing w:after="0"/>
        <w:tabs>
          <w:tab w:leader="none" w:pos="44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This facility was extended after September 30, 2025, and now matures in July 2030. See below for discussion. As the loan modification was executed before the financial statements were available for issuance, we have adjusted the current/non-current aging of the facility in the September 2025 balance sheet accordingly.</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144145</wp:posOffset>
            </wp:positionV>
            <wp:extent cx="7200265"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28"/>
        </w:trPr>
        <w:tc>
          <w:tcPr>
            <w:tcW w:w="3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0"/>
                <w:szCs w:val="10"/>
                <w:b w:val="1"/>
                <w:bCs w:val="1"/>
                <w:color w:val="auto"/>
              </w:rPr>
              <w:t>As of December 31, 2024</w:t>
            </w:r>
          </w:p>
        </w:tc>
        <w:tc>
          <w:tcPr>
            <w:tcW w:w="1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Balance,</w:t>
            </w:r>
          </w:p>
        </w:tc>
        <w:tc>
          <w:tcPr>
            <w:tcW w:w="1240" w:type="dxa"/>
            <w:vAlign w:val="bottom"/>
            <w:gridSpan w:val="2"/>
          </w:tcPr>
          <w:p>
            <w:pPr>
              <w:jc w:val="center"/>
              <w:ind w:right="80"/>
              <w:spacing w:after="0" w:line="94" w:lineRule="exact"/>
              <w:rPr>
                <w:sz w:val="20"/>
                <w:szCs w:val="20"/>
                <w:color w:val="auto"/>
              </w:rPr>
            </w:pPr>
            <w:r>
              <w:rPr>
                <w:rFonts w:ascii="Times New Roman" w:cs="Times New Roman" w:eastAsia="Times New Roman" w:hAnsi="Times New Roman"/>
                <w:sz w:val="10"/>
                <w:szCs w:val="10"/>
                <w:b w:val="1"/>
                <w:bCs w:val="1"/>
                <w:color w:val="auto"/>
              </w:rPr>
              <w:t>Stated</w:t>
            </w:r>
          </w:p>
        </w:tc>
        <w:tc>
          <w:tcPr>
            <w:tcW w:w="1140" w:type="dxa"/>
            <w:vAlign w:val="bottom"/>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rPr>
              <w:t>Effective</w:t>
            </w:r>
          </w:p>
        </w:tc>
        <w:tc>
          <w:tcPr>
            <w:tcW w:w="0" w:type="dxa"/>
            <w:vAlign w:val="bottom"/>
          </w:tcPr>
          <w:p>
            <w:pPr>
              <w:spacing w:after="0"/>
              <w:rPr>
                <w:sz w:val="1"/>
                <w:szCs w:val="1"/>
                <w:color w:val="auto"/>
              </w:rPr>
            </w:pPr>
          </w:p>
        </w:tc>
      </w:tr>
      <w:tr>
        <w:trPr>
          <w:trHeight w:val="100"/>
        </w:trPr>
        <w:tc>
          <w:tcPr>
            <w:tcW w:w="3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tcPr>
          <w:p>
            <w:pPr>
              <w:jc w:val="center"/>
              <w:ind w:right="200"/>
              <w:spacing w:after="0" w:line="101" w:lineRule="exact"/>
              <w:rPr>
                <w:sz w:val="20"/>
                <w:szCs w:val="20"/>
                <w:color w:val="auto"/>
              </w:rPr>
            </w:pPr>
            <w:r>
              <w:rPr>
                <w:rFonts w:ascii="Times New Roman" w:cs="Times New Roman" w:eastAsia="Times New Roman" w:hAnsi="Times New Roman"/>
                <w:sz w:val="10"/>
                <w:szCs w:val="10"/>
                <w:b w:val="1"/>
                <w:bCs w:val="1"/>
                <w:color w:val="auto"/>
                <w:w w:val="96"/>
              </w:rPr>
              <w:t>Contractual</w:t>
            </w: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2"/>
          </w:tcPr>
          <w:p>
            <w:pPr>
              <w:ind w:left="120"/>
              <w:spacing w:after="0" w:line="101" w:lineRule="exact"/>
              <w:rPr>
                <w:sz w:val="20"/>
                <w:szCs w:val="20"/>
                <w:color w:val="auto"/>
              </w:rPr>
            </w:pPr>
            <w:r>
              <w:rPr>
                <w:rFonts w:ascii="Times New Roman" w:cs="Times New Roman" w:eastAsia="Times New Roman" w:hAnsi="Times New Roman"/>
                <w:sz w:val="10"/>
                <w:szCs w:val="10"/>
                <w:b w:val="1"/>
                <w:bCs w:val="1"/>
                <w:color w:val="auto"/>
              </w:rPr>
              <w:t>Balance,</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40" w:type="dxa"/>
            <w:vAlign w:val="bottom"/>
            <w:gridSpan w:val="2"/>
          </w:tcPr>
          <w:p>
            <w:pPr>
              <w:jc w:val="center"/>
              <w:ind w:right="80"/>
              <w:spacing w:after="0" w:line="101" w:lineRule="exact"/>
              <w:rPr>
                <w:sz w:val="20"/>
                <w:szCs w:val="20"/>
                <w:color w:val="auto"/>
              </w:rPr>
            </w:pPr>
            <w:r>
              <w:rPr>
                <w:rFonts w:ascii="Times New Roman" w:cs="Times New Roman" w:eastAsia="Times New Roman" w:hAnsi="Times New Roman"/>
                <w:sz w:val="10"/>
                <w:szCs w:val="10"/>
                <w:b w:val="1"/>
                <w:bCs w:val="1"/>
                <w:color w:val="auto"/>
                <w:w w:val="95"/>
              </w:rPr>
              <w:t>Interest‎</w:t>
            </w:r>
          </w:p>
        </w:tc>
        <w:tc>
          <w:tcPr>
            <w:tcW w:w="1140" w:type="dxa"/>
            <w:vAlign w:val="bottom"/>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w w:val="95"/>
              </w:rPr>
              <w:t>‎Interest</w:t>
            </w:r>
          </w:p>
        </w:tc>
        <w:tc>
          <w:tcPr>
            <w:tcW w:w="0" w:type="dxa"/>
            <w:vAlign w:val="bottom"/>
          </w:tcPr>
          <w:p>
            <w:pPr>
              <w:spacing w:after="0"/>
              <w:rPr>
                <w:sz w:val="1"/>
                <w:szCs w:val="1"/>
                <w:color w:val="auto"/>
              </w:rPr>
            </w:pPr>
          </w:p>
        </w:tc>
      </w:tr>
      <w:tr>
        <w:trPr>
          <w:trHeight w:val="130"/>
        </w:trPr>
        <w:tc>
          <w:tcPr>
            <w:tcW w:w="40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Maturity Date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Facility‎</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Gross‎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440"/>
              <w:spacing w:after="0" w:line="131" w:lineRule="exact"/>
              <w:rPr>
                <w:sz w:val="20"/>
                <w:szCs w:val="20"/>
                <w:color w:val="auto"/>
              </w:rPr>
            </w:pPr>
            <w:r>
              <w:rPr>
                <w:rFonts w:ascii="Times New Roman" w:cs="Times New Roman" w:eastAsia="Times New Roman" w:hAnsi="Times New Roman"/>
                <w:sz w:val="9"/>
                <w:szCs w:val="9"/>
                <w:b w:val="1"/>
                <w:bCs w:val="1"/>
                <w:color w:val="auto"/>
              </w:rPr>
              <w:t>‎Net</w:t>
            </w:r>
            <w:r>
              <w:rPr>
                <w:rFonts w:ascii="Times New Roman" w:cs="Times New Roman" w:eastAsia="Times New Roman" w:hAnsi="Times New Roman"/>
                <w:sz w:val="15"/>
                <w:szCs w:val="15"/>
                <w:b w:val="1"/>
                <w:bCs w:val="1"/>
                <w:color w:val="auto"/>
                <w:vertAlign w:val="superscript"/>
              </w:rPr>
              <w:t>(1)</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9"/>
              </w:rPr>
              <w:t>Rate‎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‎Rate</w:t>
            </w:r>
          </w:p>
        </w:tc>
        <w:tc>
          <w:tcPr>
            <w:tcW w:w="0" w:type="dxa"/>
            <w:vAlign w:val="bottom"/>
          </w:tcPr>
          <w:p>
            <w:pPr>
              <w:spacing w:after="0"/>
              <w:rPr>
                <w:sz w:val="1"/>
                <w:szCs w:val="1"/>
                <w:color w:val="auto"/>
              </w:rPr>
            </w:pPr>
          </w:p>
        </w:tc>
      </w:tr>
      <w:tr>
        <w:trPr>
          <w:trHeight w:val="110"/>
        </w:trPr>
        <w:tc>
          <w:tcPr>
            <w:tcW w:w="3940" w:type="dxa"/>
            <w:vAlign w:val="bottom"/>
            <w:tcBorders>
              <w:top w:val="single" w:sz="8" w:color="auto"/>
            </w:tcBorders>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Denominated in USD</w:t>
            </w:r>
          </w:p>
        </w:tc>
        <w:tc>
          <w:tcPr>
            <w:tcW w:w="100" w:type="dxa"/>
            <w:vAlign w:val="bottom"/>
            <w:tcBorders>
              <w:top w:val="single" w:sz="8" w:color="CCEEFF"/>
            </w:tcBorders>
            <w:shd w:val="clear" w:color="auto" w:fill="CCEEFF"/>
          </w:tcPr>
          <w:p>
            <w:pPr>
              <w:spacing w:after="0"/>
              <w:rPr>
                <w:sz w:val="9"/>
                <w:szCs w:val="9"/>
                <w:color w:val="auto"/>
              </w:rPr>
            </w:pPr>
          </w:p>
        </w:tc>
        <w:tc>
          <w:tcPr>
            <w:tcW w:w="1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040" w:type="dxa"/>
            <w:vAlign w:val="bottom"/>
            <w:gridSpan w:val="2"/>
          </w:tcPr>
          <w:p>
            <w:pPr>
              <w:ind w:left="60"/>
              <w:spacing w:after="0" w:line="112" w:lineRule="exact"/>
              <w:rPr>
                <w:sz w:val="20"/>
                <w:szCs w:val="20"/>
                <w:color w:val="auto"/>
              </w:rPr>
            </w:pPr>
            <w:r>
              <w:rPr>
                <w:rFonts w:ascii="Times New Roman" w:cs="Times New Roman" w:eastAsia="Times New Roman" w:hAnsi="Times New Roman"/>
                <w:sz w:val="10"/>
                <w:szCs w:val="10"/>
                <w:color w:val="auto"/>
              </w:rPr>
              <w:t>Minetta &amp; Orpheum Theatres Loan (US)</w:t>
            </w:r>
          </w:p>
        </w:tc>
        <w:tc>
          <w:tcPr>
            <w:tcW w:w="154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w w:val="98"/>
              </w:rPr>
              <w:t>June 1, 2025</w:t>
            </w:r>
          </w:p>
        </w:tc>
        <w:tc>
          <w:tcPr>
            <w:tcW w:w="240" w:type="dxa"/>
            <w:vAlign w:val="bottom"/>
            <w:gridSpan w:val="2"/>
          </w:tcPr>
          <w:p>
            <w:pPr>
              <w:jc w:val="right"/>
              <w:ind w:right="50"/>
              <w:spacing w:after="0" w:line="112"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jc w:val="right"/>
              <w:ind w:right="40"/>
              <w:spacing w:after="0" w:line="112" w:lineRule="exact"/>
              <w:rPr>
                <w:sz w:val="20"/>
                <w:szCs w:val="20"/>
                <w:color w:val="auto"/>
              </w:rPr>
            </w:pPr>
            <w:r>
              <w:rPr>
                <w:rFonts w:ascii="Times New Roman" w:cs="Times New Roman" w:eastAsia="Times New Roman" w:hAnsi="Times New Roman"/>
                <w:sz w:val="10"/>
                <w:szCs w:val="10"/>
                <w:color w:val="auto"/>
              </w:rPr>
              <w:t>7,464</w:t>
            </w:r>
          </w:p>
        </w:tc>
        <w:tc>
          <w:tcPr>
            <w:tcW w:w="240" w:type="dxa"/>
            <w:vAlign w:val="bottom"/>
            <w:gridSpan w:val="2"/>
          </w:tcPr>
          <w:p>
            <w:pPr>
              <w:jc w:val="right"/>
              <w:ind w:right="90"/>
              <w:spacing w:after="0" w:line="112"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ind w:right="40"/>
              <w:spacing w:after="0" w:line="112" w:lineRule="exact"/>
              <w:rPr>
                <w:sz w:val="20"/>
                <w:szCs w:val="20"/>
                <w:color w:val="auto"/>
              </w:rPr>
            </w:pPr>
            <w:r>
              <w:rPr>
                <w:rFonts w:ascii="Times New Roman" w:cs="Times New Roman" w:eastAsia="Times New Roman" w:hAnsi="Times New Roman"/>
                <w:sz w:val="10"/>
                <w:szCs w:val="10"/>
                <w:color w:val="auto"/>
              </w:rPr>
              <w:t>7,464</w:t>
            </w:r>
          </w:p>
        </w:tc>
        <w:tc>
          <w:tcPr>
            <w:tcW w:w="220" w:type="dxa"/>
            <w:vAlign w:val="bottom"/>
            <w:gridSpan w:val="2"/>
          </w:tcPr>
          <w:p>
            <w:pPr>
              <w:jc w:val="right"/>
              <w:ind w:right="115"/>
              <w:spacing w:after="0" w:line="112"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7,446</w:t>
            </w:r>
          </w:p>
        </w:tc>
        <w:tc>
          <w:tcPr>
            <w:tcW w:w="116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w w:val="92"/>
              </w:rPr>
              <w:t>7.00%</w:t>
            </w:r>
          </w:p>
        </w:tc>
        <w:tc>
          <w:tcPr>
            <w:tcW w:w="80" w:type="dxa"/>
            <w:vAlign w:val="bottom"/>
          </w:tcPr>
          <w:p>
            <w:pPr>
              <w:spacing w:after="0"/>
              <w:rPr>
                <w:sz w:val="9"/>
                <w:szCs w:val="9"/>
                <w:color w:val="auto"/>
              </w:rPr>
            </w:pPr>
          </w:p>
        </w:tc>
        <w:tc>
          <w:tcPr>
            <w:tcW w:w="114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rPr>
              <w:t>7.00%</w:t>
            </w:r>
          </w:p>
        </w:tc>
        <w:tc>
          <w:tcPr>
            <w:tcW w:w="0" w:type="dxa"/>
            <w:vAlign w:val="bottom"/>
          </w:tcPr>
          <w:p>
            <w:pPr>
              <w:spacing w:after="0"/>
              <w:rPr>
                <w:sz w:val="1"/>
                <w:szCs w:val="1"/>
                <w:color w:val="auto"/>
              </w:rPr>
            </w:pPr>
          </w:p>
        </w:tc>
      </w:tr>
      <w:tr>
        <w:trPr>
          <w:trHeight w:val="112"/>
        </w:trPr>
        <w:tc>
          <w:tcPr>
            <w:tcW w:w="4040" w:type="dxa"/>
            <w:vAlign w:val="bottom"/>
            <w:gridSpan w:val="2"/>
            <w:shd w:val="clear" w:color="auto" w:fill="CCEEFF"/>
          </w:tcPr>
          <w:p>
            <w:pPr>
              <w:ind w:left="60"/>
              <w:spacing w:after="0" w:line="112" w:lineRule="exact"/>
              <w:rPr>
                <w:sz w:val="20"/>
                <w:szCs w:val="20"/>
                <w:color w:val="auto"/>
              </w:rPr>
            </w:pPr>
            <w:r>
              <w:rPr>
                <w:rFonts w:ascii="Times New Roman" w:cs="Times New Roman" w:eastAsia="Times New Roman" w:hAnsi="Times New Roman"/>
                <w:sz w:val="10"/>
                <w:szCs w:val="10"/>
                <w:color w:val="auto"/>
              </w:rPr>
              <w:t>Bank of America Credit Facility (US)</w:t>
            </w:r>
          </w:p>
        </w:tc>
        <w:tc>
          <w:tcPr>
            <w:tcW w:w="154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w w:val="99"/>
              </w:rPr>
              <w:t>August 18, 2025</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14,750</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14,750</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14,699</w:t>
            </w:r>
          </w:p>
        </w:tc>
        <w:tc>
          <w:tcPr>
            <w:tcW w:w="80" w:type="dxa"/>
            <w:vAlign w:val="bottom"/>
            <w:shd w:val="clear" w:color="auto" w:fill="CCEEFF"/>
          </w:tcPr>
          <w:p>
            <w:pPr>
              <w:spacing w:after="0"/>
              <w:rPr>
                <w:sz w:val="9"/>
                <w:szCs w:val="9"/>
                <w:color w:val="auto"/>
              </w:rPr>
            </w:pPr>
          </w:p>
        </w:tc>
        <w:tc>
          <w:tcPr>
            <w:tcW w:w="116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rPr>
              <w:t>10.50%</w:t>
            </w:r>
          </w:p>
        </w:tc>
        <w:tc>
          <w:tcPr>
            <w:tcW w:w="80" w:type="dxa"/>
            <w:vAlign w:val="bottom"/>
            <w:shd w:val="clear" w:color="auto" w:fill="CCEEFF"/>
          </w:tcPr>
          <w:p>
            <w:pPr>
              <w:spacing w:after="0"/>
              <w:rPr>
                <w:sz w:val="9"/>
                <w:szCs w:val="9"/>
                <w:color w:val="auto"/>
              </w:rPr>
            </w:pPr>
          </w:p>
        </w:tc>
        <w:tc>
          <w:tcPr>
            <w:tcW w:w="114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w w:val="97"/>
              </w:rPr>
              <w:t>10.50%</w:t>
            </w:r>
          </w:p>
        </w:tc>
        <w:tc>
          <w:tcPr>
            <w:tcW w:w="0" w:type="dxa"/>
            <w:vAlign w:val="bottom"/>
          </w:tcPr>
          <w:p>
            <w:pPr>
              <w:spacing w:after="0"/>
              <w:rPr>
                <w:sz w:val="1"/>
                <w:szCs w:val="1"/>
                <w:color w:val="auto"/>
              </w:rPr>
            </w:pPr>
          </w:p>
        </w:tc>
      </w:tr>
      <w:tr>
        <w:trPr>
          <w:trHeight w:val="112"/>
        </w:trPr>
        <w:tc>
          <w:tcPr>
            <w:tcW w:w="4040" w:type="dxa"/>
            <w:vAlign w:val="bottom"/>
            <w:gridSpan w:val="2"/>
          </w:tcPr>
          <w:p>
            <w:pPr>
              <w:ind w:left="60"/>
              <w:spacing w:after="0" w:line="112" w:lineRule="exact"/>
              <w:rPr>
                <w:sz w:val="20"/>
                <w:szCs w:val="20"/>
                <w:color w:val="auto"/>
              </w:rPr>
            </w:pPr>
            <w:r>
              <w:rPr>
                <w:rFonts w:ascii="Times New Roman" w:cs="Times New Roman" w:eastAsia="Times New Roman" w:hAnsi="Times New Roman"/>
                <w:sz w:val="10"/>
                <w:szCs w:val="10"/>
                <w:color w:val="auto"/>
              </w:rPr>
              <w:t>Cinemas 1, 2, 3 Term Loan (US)</w:t>
            </w:r>
          </w:p>
        </w:tc>
        <w:tc>
          <w:tcPr>
            <w:tcW w:w="154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rPr>
              <w:t>April 1, 2025</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20,682</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20,682</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20,594</w:t>
            </w:r>
          </w:p>
        </w:tc>
        <w:tc>
          <w:tcPr>
            <w:tcW w:w="80" w:type="dxa"/>
            <w:vAlign w:val="bottom"/>
          </w:tcPr>
          <w:p>
            <w:pPr>
              <w:spacing w:after="0"/>
              <w:rPr>
                <w:sz w:val="9"/>
                <w:szCs w:val="9"/>
                <w:color w:val="auto"/>
              </w:rPr>
            </w:pPr>
          </w:p>
        </w:tc>
        <w:tc>
          <w:tcPr>
            <w:tcW w:w="116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w w:val="92"/>
              </w:rPr>
              <w:t>9.57%</w:t>
            </w:r>
          </w:p>
        </w:tc>
        <w:tc>
          <w:tcPr>
            <w:tcW w:w="80" w:type="dxa"/>
            <w:vAlign w:val="bottom"/>
          </w:tcPr>
          <w:p>
            <w:pPr>
              <w:spacing w:after="0"/>
              <w:rPr>
                <w:sz w:val="9"/>
                <w:szCs w:val="9"/>
                <w:color w:val="auto"/>
              </w:rPr>
            </w:pPr>
          </w:p>
        </w:tc>
        <w:tc>
          <w:tcPr>
            <w:tcW w:w="114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rPr>
              <w:t>9.57%</w:t>
            </w:r>
          </w:p>
        </w:tc>
        <w:tc>
          <w:tcPr>
            <w:tcW w:w="0" w:type="dxa"/>
            <w:vAlign w:val="bottom"/>
          </w:tcPr>
          <w:p>
            <w:pPr>
              <w:spacing w:after="0"/>
              <w:rPr>
                <w:sz w:val="1"/>
                <w:szCs w:val="1"/>
                <w:color w:val="auto"/>
              </w:rPr>
            </w:pPr>
          </w:p>
        </w:tc>
      </w:tr>
      <w:tr>
        <w:trPr>
          <w:trHeight w:val="112"/>
        </w:trPr>
        <w:tc>
          <w:tcPr>
            <w:tcW w:w="4040" w:type="dxa"/>
            <w:vAlign w:val="bottom"/>
            <w:gridSpan w:val="2"/>
            <w:shd w:val="clear" w:color="auto" w:fill="CCEEFF"/>
          </w:tcPr>
          <w:p>
            <w:pPr>
              <w:ind w:left="60"/>
              <w:spacing w:after="0" w:line="112" w:lineRule="exact"/>
              <w:rPr>
                <w:sz w:val="20"/>
                <w:szCs w:val="20"/>
                <w:color w:val="auto"/>
              </w:rPr>
            </w:pPr>
            <w:r>
              <w:rPr>
                <w:rFonts w:ascii="Times New Roman" w:cs="Times New Roman" w:eastAsia="Times New Roman" w:hAnsi="Times New Roman"/>
                <w:sz w:val="10"/>
                <w:szCs w:val="10"/>
                <w:color w:val="auto"/>
              </w:rPr>
              <w:t>Union Square Financing (US) (4)</w:t>
            </w:r>
          </w:p>
        </w:tc>
        <w:tc>
          <w:tcPr>
            <w:tcW w:w="154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w w:val="98"/>
              </w:rPr>
              <w:t>May 6, 2025</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40"/>
              <w:spacing w:after="0" w:line="112" w:lineRule="exact"/>
              <w:rPr>
                <w:sz w:val="20"/>
                <w:szCs w:val="20"/>
                <w:color w:val="auto"/>
              </w:rPr>
            </w:pPr>
            <w:r>
              <w:rPr>
                <w:rFonts w:ascii="Times New Roman" w:cs="Times New Roman" w:eastAsia="Times New Roman" w:hAnsi="Times New Roman"/>
                <w:sz w:val="10"/>
                <w:szCs w:val="10"/>
                <w:color w:val="auto"/>
              </w:rPr>
              <w:t>55,000</w:t>
            </w: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40"/>
              <w:spacing w:after="0" w:line="112" w:lineRule="exact"/>
              <w:rPr>
                <w:sz w:val="20"/>
                <w:szCs w:val="20"/>
                <w:color w:val="auto"/>
              </w:rPr>
            </w:pPr>
            <w:r>
              <w:rPr>
                <w:rFonts w:ascii="Times New Roman" w:cs="Times New Roman" w:eastAsia="Times New Roman" w:hAnsi="Times New Roman"/>
                <w:sz w:val="10"/>
                <w:szCs w:val="10"/>
                <w:color w:val="auto"/>
              </w:rPr>
              <w:t>47,141</w:t>
            </w: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47,049</w:t>
            </w:r>
          </w:p>
        </w:tc>
        <w:tc>
          <w:tcPr>
            <w:tcW w:w="116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rPr>
              <w:t>11.78%</w:t>
            </w:r>
          </w:p>
        </w:tc>
        <w:tc>
          <w:tcPr>
            <w:tcW w:w="80" w:type="dxa"/>
            <w:vAlign w:val="bottom"/>
            <w:shd w:val="clear" w:color="auto" w:fill="CCEEFF"/>
          </w:tcPr>
          <w:p>
            <w:pPr>
              <w:spacing w:after="0"/>
              <w:rPr>
                <w:sz w:val="9"/>
                <w:szCs w:val="9"/>
                <w:color w:val="auto"/>
              </w:rPr>
            </w:pPr>
          </w:p>
        </w:tc>
        <w:tc>
          <w:tcPr>
            <w:tcW w:w="114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w w:val="97"/>
              </w:rPr>
              <w:t>11.78%</w:t>
            </w:r>
          </w:p>
        </w:tc>
        <w:tc>
          <w:tcPr>
            <w:tcW w:w="0" w:type="dxa"/>
            <w:vAlign w:val="bottom"/>
          </w:tcPr>
          <w:p>
            <w:pPr>
              <w:spacing w:after="0"/>
              <w:rPr>
                <w:sz w:val="1"/>
                <w:szCs w:val="1"/>
                <w:color w:val="auto"/>
              </w:rPr>
            </w:pPr>
          </w:p>
        </w:tc>
      </w:tr>
      <w:tr>
        <w:trPr>
          <w:trHeight w:val="140"/>
        </w:trPr>
        <w:tc>
          <w:tcPr>
            <w:tcW w:w="404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0"/>
                <w:szCs w:val="10"/>
                <w:color w:val="auto"/>
              </w:rPr>
              <w:t>Trust Preferred Securities (</w:t>
            </w:r>
            <w:r>
              <w:rPr>
                <w:rFonts w:ascii="Times New Roman" w:cs="Times New Roman" w:eastAsia="Times New Roman" w:hAnsi="Times New Roman"/>
                <w:sz w:val="16"/>
                <w:szCs w:val="16"/>
                <w:color w:val="auto"/>
                <w:vertAlign w:val="superscript"/>
              </w:rPr>
              <w:t>US)</w:t>
            </w: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April 30, 2027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27,913</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27,913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27,394</w:t>
            </w:r>
          </w:p>
        </w:tc>
        <w:tc>
          <w:tcPr>
            <w:tcW w:w="11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8.85%</w:t>
            </w:r>
          </w:p>
        </w:tc>
        <w:tc>
          <w:tcPr>
            <w:tcW w:w="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8.85%</w:t>
            </w:r>
          </w:p>
        </w:tc>
        <w:tc>
          <w:tcPr>
            <w:tcW w:w="0" w:type="dxa"/>
            <w:vAlign w:val="bottom"/>
          </w:tcPr>
          <w:p>
            <w:pPr>
              <w:spacing w:after="0"/>
              <w:rPr>
                <w:sz w:val="1"/>
                <w:szCs w:val="1"/>
                <w:color w:val="auto"/>
              </w:rPr>
            </w:pPr>
          </w:p>
        </w:tc>
      </w:tr>
      <w:tr>
        <w:trPr>
          <w:trHeight w:val="140"/>
        </w:trPr>
        <w:tc>
          <w:tcPr>
            <w:tcW w:w="404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0"/>
                <w:szCs w:val="10"/>
                <w:color w:val="auto"/>
              </w:rPr>
              <w:t xml:space="preserve">Denominated in foreign currency ("FC") </w:t>
            </w:r>
            <w:r>
              <w:rPr>
                <w:rFonts w:ascii="Times New Roman" w:cs="Times New Roman" w:eastAsia="Times New Roman" w:hAnsi="Times New Roman"/>
                <w:sz w:val="16"/>
                <w:szCs w:val="16"/>
                <w:color w:val="auto"/>
                <w:vertAlign w:val="superscript"/>
              </w:rPr>
              <w:t>(2)</w:t>
            </w:r>
          </w:p>
        </w:tc>
        <w:tc>
          <w:tcPr>
            <w:tcW w:w="1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040" w:type="dxa"/>
            <w:vAlign w:val="bottom"/>
            <w:gridSpan w:val="2"/>
          </w:tcPr>
          <w:p>
            <w:pPr>
              <w:ind w:left="60"/>
              <w:spacing w:after="0" w:line="112" w:lineRule="exact"/>
              <w:rPr>
                <w:sz w:val="20"/>
                <w:szCs w:val="20"/>
                <w:color w:val="auto"/>
              </w:rPr>
            </w:pPr>
            <w:r>
              <w:rPr>
                <w:rFonts w:ascii="Times New Roman" w:cs="Times New Roman" w:eastAsia="Times New Roman" w:hAnsi="Times New Roman"/>
                <w:sz w:val="10"/>
                <w:szCs w:val="10"/>
                <w:color w:val="auto"/>
              </w:rPr>
              <w:t>NAB Corporate Term Loan (AU)</w:t>
            </w:r>
          </w:p>
        </w:tc>
        <w:tc>
          <w:tcPr>
            <w:tcW w:w="154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w w:val="99"/>
              </w:rPr>
              <w:t>July 31, 2026</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61,850</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61,850</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61,740</w:t>
            </w:r>
          </w:p>
        </w:tc>
        <w:tc>
          <w:tcPr>
            <w:tcW w:w="80" w:type="dxa"/>
            <w:vAlign w:val="bottom"/>
          </w:tcPr>
          <w:p>
            <w:pPr>
              <w:spacing w:after="0"/>
              <w:rPr>
                <w:sz w:val="9"/>
                <w:szCs w:val="9"/>
                <w:color w:val="auto"/>
              </w:rPr>
            </w:pPr>
          </w:p>
        </w:tc>
        <w:tc>
          <w:tcPr>
            <w:tcW w:w="116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w w:val="92"/>
              </w:rPr>
              <w:t>6.12%</w:t>
            </w:r>
          </w:p>
        </w:tc>
        <w:tc>
          <w:tcPr>
            <w:tcW w:w="80" w:type="dxa"/>
            <w:vAlign w:val="bottom"/>
          </w:tcPr>
          <w:p>
            <w:pPr>
              <w:spacing w:after="0"/>
              <w:rPr>
                <w:sz w:val="9"/>
                <w:szCs w:val="9"/>
                <w:color w:val="auto"/>
              </w:rPr>
            </w:pPr>
          </w:p>
        </w:tc>
        <w:tc>
          <w:tcPr>
            <w:tcW w:w="114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rPr>
              <w:t>6.12%</w:t>
            </w:r>
          </w:p>
        </w:tc>
        <w:tc>
          <w:tcPr>
            <w:tcW w:w="0" w:type="dxa"/>
            <w:vAlign w:val="bottom"/>
          </w:tcPr>
          <w:p>
            <w:pPr>
              <w:spacing w:after="0"/>
              <w:rPr>
                <w:sz w:val="1"/>
                <w:szCs w:val="1"/>
                <w:color w:val="auto"/>
              </w:rPr>
            </w:pPr>
          </w:p>
        </w:tc>
      </w:tr>
      <w:tr>
        <w:trPr>
          <w:trHeight w:val="112"/>
        </w:trPr>
        <w:tc>
          <w:tcPr>
            <w:tcW w:w="4040" w:type="dxa"/>
            <w:vAlign w:val="bottom"/>
            <w:gridSpan w:val="2"/>
            <w:shd w:val="clear" w:color="auto" w:fill="CCEEFF"/>
          </w:tcPr>
          <w:p>
            <w:pPr>
              <w:ind w:left="60"/>
              <w:spacing w:after="0" w:line="112" w:lineRule="exact"/>
              <w:rPr>
                <w:sz w:val="20"/>
                <w:szCs w:val="20"/>
                <w:color w:val="auto"/>
              </w:rPr>
            </w:pPr>
            <w:r>
              <w:rPr>
                <w:rFonts w:ascii="Times New Roman" w:cs="Times New Roman" w:eastAsia="Times New Roman" w:hAnsi="Times New Roman"/>
                <w:sz w:val="10"/>
                <w:szCs w:val="10"/>
                <w:color w:val="auto"/>
              </w:rPr>
              <w:t>NAB Bridge Facility (AU)</w:t>
            </w:r>
          </w:p>
        </w:tc>
        <w:tc>
          <w:tcPr>
            <w:tcW w:w="154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w w:val="98"/>
              </w:rPr>
              <w:t>April 30, 2025</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12,370</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12,370</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12,361</w:t>
            </w:r>
          </w:p>
        </w:tc>
        <w:tc>
          <w:tcPr>
            <w:tcW w:w="80" w:type="dxa"/>
            <w:vAlign w:val="bottom"/>
            <w:shd w:val="clear" w:color="auto" w:fill="CCEEFF"/>
          </w:tcPr>
          <w:p>
            <w:pPr>
              <w:spacing w:after="0"/>
              <w:rPr>
                <w:sz w:val="9"/>
                <w:szCs w:val="9"/>
                <w:color w:val="auto"/>
              </w:rPr>
            </w:pPr>
          </w:p>
        </w:tc>
        <w:tc>
          <w:tcPr>
            <w:tcW w:w="116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w w:val="92"/>
              </w:rPr>
              <w:t>6.16%</w:t>
            </w:r>
          </w:p>
        </w:tc>
        <w:tc>
          <w:tcPr>
            <w:tcW w:w="80" w:type="dxa"/>
            <w:vAlign w:val="bottom"/>
            <w:shd w:val="clear" w:color="auto" w:fill="CCEEFF"/>
          </w:tcPr>
          <w:p>
            <w:pPr>
              <w:spacing w:after="0"/>
              <w:rPr>
                <w:sz w:val="9"/>
                <w:szCs w:val="9"/>
                <w:color w:val="auto"/>
              </w:rPr>
            </w:pPr>
          </w:p>
        </w:tc>
        <w:tc>
          <w:tcPr>
            <w:tcW w:w="114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rPr>
              <w:t>6.16%</w:t>
            </w:r>
          </w:p>
        </w:tc>
        <w:tc>
          <w:tcPr>
            <w:tcW w:w="0" w:type="dxa"/>
            <w:vAlign w:val="bottom"/>
          </w:tcPr>
          <w:p>
            <w:pPr>
              <w:spacing w:after="0"/>
              <w:rPr>
                <w:sz w:val="1"/>
                <w:szCs w:val="1"/>
                <w:color w:val="auto"/>
              </w:rPr>
            </w:pPr>
          </w:p>
        </w:tc>
      </w:tr>
      <w:tr>
        <w:trPr>
          <w:trHeight w:val="168"/>
        </w:trPr>
        <w:tc>
          <w:tcPr>
            <w:tcW w:w="4040" w:type="dxa"/>
            <w:vAlign w:val="bottom"/>
            <w:tcBorders>
              <w:bottom w:val="single" w:sz="8" w:color="CCEEFF"/>
            </w:tcBorders>
            <w:gridSpan w:val="2"/>
          </w:tcPr>
          <w:p>
            <w:pPr>
              <w:ind w:left="60"/>
              <w:spacing w:after="0" w:line="168" w:lineRule="exact"/>
              <w:rPr>
                <w:sz w:val="20"/>
                <w:szCs w:val="20"/>
                <w:color w:val="auto"/>
              </w:rPr>
            </w:pPr>
            <w:r>
              <w:rPr>
                <w:rFonts w:ascii="Times New Roman" w:cs="Times New Roman" w:eastAsia="Times New Roman" w:hAnsi="Times New Roman"/>
                <w:sz w:val="10"/>
                <w:szCs w:val="10"/>
                <w:color w:val="auto"/>
              </w:rPr>
              <w:t xml:space="preserve">Westpac Bank Corporate (NZ) </w:t>
            </w:r>
            <w:r>
              <w:rPr>
                <w:rFonts w:ascii="Times New Roman" w:cs="Times New Roman" w:eastAsia="Times New Roman" w:hAnsi="Times New Roman"/>
                <w:sz w:val="18"/>
                <w:szCs w:val="18"/>
                <w:color w:val="auto"/>
                <w:vertAlign w:val="superscript"/>
              </w:rPr>
              <w:t>(3)</w:t>
            </w:r>
          </w:p>
        </w:tc>
        <w:tc>
          <w:tcPr>
            <w:tcW w:w="1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0"/>
                <w:szCs w:val="10"/>
                <w:color w:val="auto"/>
                <w:w w:val="97"/>
              </w:rPr>
              <w:t>March 31, 2025</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10,543</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10,543</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10,543</w:t>
            </w:r>
          </w:p>
        </w:tc>
        <w:tc>
          <w:tcPr>
            <w:tcW w:w="8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0"/>
                <w:szCs w:val="10"/>
                <w:color w:val="auto"/>
                <w:w w:val="92"/>
              </w:rPr>
              <w:t>6.95%</w:t>
            </w: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0"/>
                <w:szCs w:val="10"/>
                <w:color w:val="auto"/>
              </w:rPr>
              <w:t>6.95%</w:t>
            </w:r>
          </w:p>
        </w:tc>
        <w:tc>
          <w:tcPr>
            <w:tcW w:w="0" w:type="dxa"/>
            <w:vAlign w:val="bottom"/>
          </w:tcPr>
          <w:p>
            <w:pPr>
              <w:spacing w:after="0"/>
              <w:rPr>
                <w:sz w:val="1"/>
                <w:szCs w:val="1"/>
                <w:color w:val="auto"/>
              </w:rPr>
            </w:pPr>
          </w:p>
        </w:tc>
      </w:tr>
      <w:tr>
        <w:trPr>
          <w:trHeight w:val="101"/>
        </w:trPr>
        <w:tc>
          <w:tcPr>
            <w:tcW w:w="4040" w:type="dxa"/>
            <w:vAlign w:val="bottom"/>
            <w:tcBorders>
              <w:bottom w:val="single" w:sz="8" w:color="CCEEFF"/>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Total</w:t>
            </w:r>
          </w:p>
        </w:tc>
        <w:tc>
          <w:tcPr>
            <w:tcW w:w="15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jc w:val="right"/>
              <w:ind w:right="5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210,572</w:t>
            </w:r>
          </w:p>
        </w:tc>
        <w:tc>
          <w:tcPr>
            <w:tcW w:w="4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jc w:val="right"/>
              <w:ind w:right="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202,713</w:t>
            </w:r>
          </w:p>
        </w:tc>
        <w:tc>
          <w:tcPr>
            <w:tcW w:w="4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201,826</w:t>
            </w:r>
          </w:p>
        </w:tc>
        <w:tc>
          <w:tcPr>
            <w:tcW w:w="80" w:type="dxa"/>
            <w:vAlign w:val="bottom"/>
            <w:tcBorders>
              <w:bottom w:val="single" w:sz="8" w:color="CCEEFF"/>
            </w:tcBorders>
            <w:shd w:val="clear" w:color="auto" w:fill="CCEEFF"/>
          </w:tcPr>
          <w:p>
            <w:pPr>
              <w:spacing w:after="0"/>
              <w:rPr>
                <w:sz w:val="8"/>
                <w:szCs w:val="8"/>
                <w:color w:val="auto"/>
              </w:rPr>
            </w:pPr>
          </w:p>
        </w:tc>
        <w:tc>
          <w:tcPr>
            <w:tcW w:w="116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14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440" w:hanging="222"/>
        <w:spacing w:after="0"/>
        <w:tabs>
          <w:tab w:leader="none" w:pos="440" w:val="left"/>
        </w:tabs>
        <w:numPr>
          <w:ilvl w:val="0"/>
          <w:numId w:val="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Net of deferred financing costs amounting to $0.9 million.</w:t>
      </w:r>
    </w:p>
    <w:p>
      <w:pPr>
        <w:ind w:left="440" w:hanging="222"/>
        <w:spacing w:after="0" w:line="233" w:lineRule="auto"/>
        <w:tabs>
          <w:tab w:leader="none" w:pos="440" w:val="left"/>
        </w:tabs>
        <w:numPr>
          <w:ilvl w:val="0"/>
          <w:numId w:val="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contractual facilities and outstanding balances of the foreign currency denominated borrowings were translated into U.S. dollars based on the applicable exchange rates as of December 31, 2024.</w:t>
      </w:r>
    </w:p>
    <w:p>
      <w:pPr>
        <w:ind w:left="440" w:hanging="222"/>
        <w:spacing w:after="0" w:line="213" w:lineRule="auto"/>
        <w:tabs>
          <w:tab w:leader="none" w:pos="440" w:val="left"/>
        </w:tabs>
        <w:numPr>
          <w:ilvl w:val="0"/>
          <w:numId w:val="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This debt was repaid in full on January 31, 2025.</w:t>
      </w:r>
    </w:p>
    <w:p>
      <w:pPr>
        <w:ind w:left="440" w:hanging="222"/>
        <w:spacing w:after="0"/>
        <w:tabs>
          <w:tab w:leader="none" w:pos="440" w:val="left"/>
        </w:tabs>
        <w:numPr>
          <w:ilvl w:val="0"/>
          <w:numId w:val="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This loan has an option to extend for one year, which is within our control and we intend to exercise.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loan arrangements are presented, net of the deferred financing costs, on the face of our consolidated balance sheet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240" w:type="dxa"/>
            <w:vAlign w:val="bottom"/>
          </w:tcPr>
          <w:p>
            <w:pPr>
              <w:spacing w:after="0"/>
              <w:rPr>
                <w:sz w:val="10"/>
                <w:szCs w:val="10"/>
                <w:color w:val="auto"/>
              </w:rPr>
            </w:pPr>
          </w:p>
        </w:tc>
        <w:tc>
          <w:tcPr>
            <w:tcW w:w="1160" w:type="dxa"/>
            <w:vAlign w:val="bottom"/>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8"/>
        </w:trPr>
        <w:tc>
          <w:tcPr>
            <w:tcW w:w="8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 xml:space="preserve">Balance Sheet Caption </w:t>
            </w:r>
            <w:r>
              <w:rPr>
                <w:rFonts w:ascii="Times New Roman" w:cs="Times New Roman" w:eastAsia="Times New Roman" w:hAnsi="Times New Roman"/>
                <w:sz w:val="10"/>
                <w:szCs w:val="10"/>
                <w:i w:val="1"/>
                <w:iCs w:val="1"/>
                <w:color w:val="auto"/>
              </w:rPr>
              <w:t>(Dollars in thousands)</w:t>
            </w: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9"/>
        </w:trPr>
        <w:tc>
          <w:tcPr>
            <w:tcW w:w="82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Debt - current portion</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98"/>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16,451</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69,193</w:t>
            </w:r>
          </w:p>
        </w:tc>
      </w:tr>
      <w:tr>
        <w:trPr>
          <w:trHeight w:val="130"/>
        </w:trPr>
        <w:tc>
          <w:tcPr>
            <w:tcW w:w="82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Debt - long-term portion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127,601</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right"/>
              <w:ind w:right="2"/>
              <w:spacing w:after="0" w:line="130" w:lineRule="exact"/>
              <w:rPr>
                <w:sz w:val="20"/>
                <w:szCs w:val="20"/>
                <w:color w:val="auto"/>
              </w:rPr>
            </w:pPr>
            <w:r>
              <w:rPr>
                <w:rFonts w:ascii="Times New Roman" w:cs="Times New Roman" w:eastAsia="Times New Roman" w:hAnsi="Times New Roman"/>
                <w:sz w:val="12"/>
                <w:szCs w:val="12"/>
                <w:color w:val="auto"/>
              </w:rPr>
              <w:t>105,239</w:t>
            </w:r>
          </w:p>
        </w:tc>
      </w:tr>
      <w:tr>
        <w:trPr>
          <w:trHeight w:val="130"/>
        </w:trPr>
        <w:tc>
          <w:tcPr>
            <w:tcW w:w="8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Subordinated debt - long-term portion</w:t>
            </w:r>
          </w:p>
        </w:tc>
        <w:tc>
          <w:tcPr>
            <w:tcW w:w="1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27,561</w:t>
            </w:r>
          </w:p>
        </w:tc>
        <w:tc>
          <w:tcPr>
            <w:tcW w:w="1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ind w:right="2"/>
              <w:spacing w:after="0" w:line="130" w:lineRule="exact"/>
              <w:rPr>
                <w:sz w:val="20"/>
                <w:szCs w:val="20"/>
                <w:color w:val="auto"/>
              </w:rPr>
            </w:pPr>
            <w:r>
              <w:rPr>
                <w:rFonts w:ascii="Times New Roman" w:cs="Times New Roman" w:eastAsia="Times New Roman" w:hAnsi="Times New Roman"/>
                <w:sz w:val="12"/>
                <w:szCs w:val="12"/>
                <w:color w:val="auto"/>
              </w:rPr>
              <w:t>27,394</w:t>
            </w:r>
          </w:p>
        </w:tc>
      </w:tr>
      <w:tr>
        <w:trPr>
          <w:trHeight w:val="120"/>
        </w:trPr>
        <w:tc>
          <w:tcPr>
            <w:tcW w:w="8200" w:type="dxa"/>
            <w:vAlign w:val="bottom"/>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Total borrowings</w:t>
            </w:r>
          </w:p>
        </w:tc>
        <w:tc>
          <w:tcPr>
            <w:tcW w:w="160" w:type="dxa"/>
            <w:vAlign w:val="bottom"/>
          </w:tcPr>
          <w:p>
            <w:pPr>
              <w:spacing w:after="0"/>
              <w:rPr>
                <w:sz w:val="10"/>
                <w:szCs w:val="10"/>
                <w:color w:val="auto"/>
              </w:rPr>
            </w:pPr>
          </w:p>
        </w:tc>
        <w:tc>
          <w:tcPr>
            <w:tcW w:w="240" w:type="dxa"/>
            <w:vAlign w:val="bottom"/>
            <w:tcBorders>
              <w:bottom w:val="single" w:sz="8" w:color="auto"/>
            </w:tcBorders>
          </w:tcPr>
          <w:p>
            <w:pPr>
              <w:jc w:val="right"/>
              <w:ind w:right="98"/>
              <w:spacing w:after="0" w:line="120"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171,613</w:t>
            </w:r>
          </w:p>
        </w:tc>
        <w:tc>
          <w:tcPr>
            <w:tcW w:w="160" w:type="dxa"/>
            <w:vAlign w:val="bottom"/>
          </w:tcPr>
          <w:p>
            <w:pPr>
              <w:spacing w:after="0"/>
              <w:rPr>
                <w:sz w:val="10"/>
                <w:szCs w:val="10"/>
                <w:color w:val="auto"/>
              </w:rPr>
            </w:pPr>
          </w:p>
        </w:tc>
        <w:tc>
          <w:tcPr>
            <w:tcW w:w="240" w:type="dxa"/>
            <w:vAlign w:val="bottom"/>
            <w:tcBorders>
              <w:bottom w:val="single" w:sz="8" w:color="auto"/>
            </w:tcBorders>
          </w:tcPr>
          <w:p>
            <w:pPr>
              <w:jc w:val="right"/>
              <w:ind w:right="12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201,826</w:t>
            </w: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Minetta and Orpheum Theatres Loan</w:t>
      </w:r>
    </w:p>
    <w:p>
      <w:pPr>
        <w:spacing w:after="0" w:line="1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2"/>
          <w:szCs w:val="12"/>
          <w:color w:val="auto"/>
        </w:rPr>
        <w:t>Our $7.1 million loan with Santander Bank is secured by our Minetta and Orpheum Theatres. It had previously matured on June 1, 2025, required monthly principal and interest payments with a balloon payment of $7.7 million on maturity, and carried an interest rate of 7.0%. On July 18, 2025, we extended the maturity of this loan to June 1, 2026, with various paydowns throughout the year, and a final repayment upon maturity.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Bank of America Credit Facility</w:t>
      </w:r>
    </w:p>
    <w:p>
      <w:pPr>
        <w:spacing w:after="0" w:line="13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On March 27, 2024, we amended our $6.7 million Bank of America facility to, among things, (i) extend the Maturity Date to August 18, 2025, (ii) require a $275,000 principal paydown, (iii) eliminate the minimum liquidity covenant, (iv) reduce the principal amortization amounts and provide a principal holiday period, and (v) require certain paydowns on the sale of certain real estate assets. Interest is charged at 2.5% above the Bank of America Prime rate, which itself has a floor of 1.0%. Payment-in-kind interest at a rate of 0.5% commenced on January 1, 2024, and continued until December 31, 2024, increasing to 1.5% on January 1, 2025, until the facility is repaid in full. This loan is subject to mandatory prepayment out of a portion of the net proceeds realized by us in the event that we determine to sell certain specified assets. In October 2024, we amended this facility to defer the monthly principal payments required in October, November and December, to the end of 2024. All deferred payments were made as contracted. Upon the sale of our Wellington Property assets including Courtenay Central, we repaid $6.1 million of this facility on February 5, 2025. Upon the sale of our Cannon Park property, we repaid $1.5 million of this facility.</w:t>
      </w:r>
    </w:p>
    <w:p>
      <w:pPr>
        <w:spacing w:after="0" w:line="1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On April 3, 2025, we further amended the facility to defer certain scheduled pay downs, which were subsequently paid upon the sale of our Cannon Park property. On July 3, 2025, we extended the maturity date to May 18, 2026.</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Cinemas 1,2,3 Term Loan</w:t>
      </w:r>
    </w:p>
    <w:p>
      <w:pPr>
        <w:spacing w:after="0" w:line="1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2"/>
          <w:szCs w:val="12"/>
          <w:color w:val="auto"/>
        </w:rPr>
        <w:t>Our $20.4 million Cinemas 1,2,3 Term Loan is held by Sutton Hill Properties LLC (“SHP”), a 75% owned subsidiary of RDI. On February 26, 2025, we exercised the last of our extension options on this loan, extending the maturity to October 1, 2025. The loan is with Valley National Bank, which carries an interest rate of 5.0% above monthly SOFR, with a floor of 7.50%. On November 13, 2025, we extended the maturity of this loan to October 1, 2026. As a result of this extension, we carry the loan long term on our September 30, 2025, consolidated balance sheet.</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b w:val="1"/>
          <w:bCs w:val="1"/>
          <w:i w:val="1"/>
          <w:iCs w:val="1"/>
          <w:color w:val="auto"/>
        </w:rPr>
        <w:t>Union Square Financing</w:t>
      </w:r>
    </w:p>
    <w:p>
      <w:pPr>
        <w:spacing w:after="0" w:line="1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2"/>
          <w:szCs w:val="12"/>
          <w:color w:val="auto"/>
        </w:rPr>
        <w:t>Our $49.0 million loan facility, executed in 2021 with Emerald Creek Capital, is secured by our 44 Union Square property and certain limited guarantees. It bears a variable interest rate of term SOFR plus 6.9% and includes provisions for a prepaid interest and property tax reserve fund. On April 23, 2024, we executed the first twelve month extension on this loan, taking the maturity to May 6, 2025.</w:t>
      </w:r>
    </w:p>
    <w:p>
      <w:pPr>
        <w:spacing w:after="0" w:line="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2"/>
          <w:szCs w:val="12"/>
          <w:color w:val="auto"/>
        </w:rPr>
        <w:t>On May 2, 2025, we extended the maturity date of this loan to November 6, 2026, with one option to extend further to May 6, 2027. The extension provided for principal payments of $500,000 on or before May 21, 2025, and on or before and February 6, 2026. This modification and a subsequent repayment reduced the facility limit from $55.0 million to $49.0 million.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Debt denominated in foreign currencies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Australian NAB Corporate Term Loan (AU)</w:t>
      </w:r>
    </w:p>
    <w:p>
      <w:pPr>
        <w:spacing w:after="0" w:line="1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2"/>
          <w:szCs w:val="12"/>
          <w:color w:val="auto"/>
        </w:rPr>
        <w:t>Prior to March 31, 2024, our Revolving Corporate Markets Loan Facility with National Australia Bank (“NAB”) matured on July 31, 2025. It consisted of (i) an AU$100.0 million Corporate Loan facility at 1.75% above BBSY, of which AU $60.0 million was revolving and AU$40.0 million was core and (ii) a Bank Guarantee Facility of AU$5.0 million at a rate of 1.9% per annum.</w:t>
      </w:r>
    </w:p>
    <w:p>
      <w:pPr>
        <w:spacing w:after="0" w:line="9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2"/>
          <w:szCs w:val="12"/>
          <w:color w:val="auto"/>
        </w:rPr>
        <w:t>On April 4, 2024, we amended this facility, which then had a maturity on July 31, 2026. As part of the amendment, we obtained an additional AU$20.0 million bridge facility (the “Bridge Loan”), which was repaid on May 21, 2025. We were also required, from March 31, 2025, to make quarterly repayments of AU$1.5 million against the AU$100.0 million Corporate Loan facility, until maturity date, representing permanent reductions in that facility’s ceiling. No other changes were made. On April 2, 2025, we executed an amendment that among other things, increased the bank guarantee facility from AU$3.0 million to AU$4.0 million.</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color w:val="auto"/>
        </w:rPr>
        <w:t>Effective June 28, 2024, we entered into an Interest Rate Hedging Agreement with NAB on AU$50.0 million of the Corporate Loan Facility with a termination date of July 31, 2026. The Interest Rate Collar transaction has a floor of 4.18% and a cap of 4.78%.</w:t>
      </w:r>
    </w:p>
    <w:p>
      <w:pPr>
        <w:spacing w:after="0" w:line="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2"/>
          <w:szCs w:val="12"/>
          <w:color w:val="auto"/>
        </w:rPr>
        <w:t>On November 12, 2025, we extended the maturity of this loan to July 31, 2030. As a result of this extension, we carry the loan long term on our September 30, 2025, consolidated balance sheet, less any required paydowns to be made in the coming twelve months.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Westpac Bank Corporate Credit Facility (NZ)</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repaid our Westpac Bank Corporate Credit Facility in full on January 31,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14 – Other Liabilities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liabilities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8"/>
        </w:trPr>
        <w:tc>
          <w:tcPr>
            <w:tcW w:w="820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2025</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9"/>
        </w:trPr>
        <w:tc>
          <w:tcPr>
            <w:tcW w:w="82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Current liabilities</w:t>
            </w:r>
          </w:p>
        </w:tc>
        <w:tc>
          <w:tcPr>
            <w:tcW w:w="16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r>
      <w:tr>
        <w:trPr>
          <w:trHeight w:val="130"/>
        </w:trPr>
        <w:tc>
          <w:tcPr>
            <w:tcW w:w="82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Lease liability</w:t>
            </w:r>
          </w:p>
        </w:tc>
        <w:tc>
          <w:tcPr>
            <w:tcW w:w="1160" w:type="dxa"/>
            <w:vAlign w:val="bottom"/>
            <w:gridSpan w:val="2"/>
          </w:tcPr>
          <w:p>
            <w:pPr>
              <w:jc w:val="right"/>
              <w:ind w:right="862"/>
              <w:spacing w:after="0" w:line="130"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5,900</w:t>
            </w:r>
          </w:p>
        </w:tc>
        <w:tc>
          <w:tcPr>
            <w:tcW w:w="160" w:type="dxa"/>
            <w:vAlign w:val="bottom"/>
          </w:tcPr>
          <w:p>
            <w:pPr>
              <w:spacing w:after="0"/>
              <w:rPr>
                <w:sz w:val="11"/>
                <w:szCs w:val="11"/>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5,900</w:t>
            </w:r>
          </w:p>
        </w:tc>
      </w:tr>
      <w:tr>
        <w:trPr>
          <w:trHeight w:val="130"/>
        </w:trPr>
        <w:tc>
          <w:tcPr>
            <w:tcW w:w="8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Accrued pension</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496</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500</w:t>
            </w:r>
          </w:p>
        </w:tc>
      </w:tr>
      <w:tr>
        <w:trPr>
          <w:trHeight w:val="130"/>
        </w:trPr>
        <w:tc>
          <w:tcPr>
            <w:tcW w:w="82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Security deposit payable</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146</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117</w:t>
            </w:r>
          </w:p>
        </w:tc>
      </w:tr>
      <w:tr>
        <w:trPr>
          <w:trHeight w:val="130"/>
        </w:trPr>
        <w:tc>
          <w:tcPr>
            <w:tcW w:w="8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Finance lease liabilities</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11</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43</w:t>
            </w:r>
          </w:p>
        </w:tc>
      </w:tr>
      <w:tr>
        <w:trPr>
          <w:trHeight w:val="130"/>
        </w:trPr>
        <w:tc>
          <w:tcPr>
            <w:tcW w:w="8200" w:type="dxa"/>
            <w:vAlign w:val="bottom"/>
            <w:tcBorders>
              <w:bottom w:val="single" w:sz="8" w:color="CCEEFF"/>
            </w:tcBorders>
          </w:tcPr>
          <w:p>
            <w:pPr>
              <w:spacing w:after="0" w:line="130" w:lineRule="exact"/>
              <w:rPr>
                <w:sz w:val="20"/>
                <w:szCs w:val="20"/>
                <w:color w:val="auto"/>
              </w:rPr>
            </w:pPr>
            <w:r>
              <w:rPr>
                <w:rFonts w:ascii="Times New Roman" w:cs="Times New Roman" w:eastAsia="Times New Roman" w:hAnsi="Times New Roman"/>
                <w:sz w:val="12"/>
                <w:szCs w:val="12"/>
                <w:color w:val="auto"/>
              </w:rPr>
              <w:t>Other</w:t>
            </w:r>
          </w:p>
        </w:tc>
        <w:tc>
          <w:tcPr>
            <w:tcW w:w="16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34</w:t>
            </w: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33</w:t>
            </w:r>
          </w:p>
        </w:tc>
      </w:tr>
      <w:tr>
        <w:trPr>
          <w:trHeight w:val="140"/>
        </w:trPr>
        <w:tc>
          <w:tcPr>
            <w:tcW w:w="8200" w:type="dxa"/>
            <w:vAlign w:val="bottom"/>
            <w:tcBorders>
              <w:bottom w:val="single" w:sz="8" w:color="CCEEFF"/>
            </w:tcBorders>
            <w:shd w:val="clear" w:color="auto" w:fill="CCEEFF"/>
          </w:tcPr>
          <w:p>
            <w:pPr>
              <w:ind w:left="80"/>
              <w:spacing w:after="0" w:line="120" w:lineRule="exact"/>
              <w:rPr>
                <w:sz w:val="20"/>
                <w:szCs w:val="20"/>
                <w:color w:val="auto"/>
              </w:rPr>
            </w:pPr>
            <w:r>
              <w:rPr>
                <w:rFonts w:ascii="Times New Roman" w:cs="Times New Roman" w:eastAsia="Times New Roman" w:hAnsi="Times New Roman"/>
                <w:sz w:val="12"/>
                <w:szCs w:val="12"/>
                <w:b w:val="1"/>
                <w:bCs w:val="1"/>
                <w:color w:val="auto"/>
              </w:rPr>
              <w:t>Other current liabilities</w:t>
            </w:r>
          </w:p>
        </w:tc>
        <w:tc>
          <w:tcPr>
            <w:tcW w:w="1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862"/>
              <w:spacing w:after="0" w:line="120"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6,587</w:t>
            </w:r>
          </w:p>
        </w:tc>
        <w:tc>
          <w:tcPr>
            <w:tcW w:w="1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6,593</w:t>
            </w:r>
          </w:p>
        </w:tc>
      </w:tr>
      <w:tr>
        <w:trPr>
          <w:trHeight w:val="109"/>
        </w:trPr>
        <w:tc>
          <w:tcPr>
            <w:tcW w:w="820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Other liabilities</w:t>
            </w: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130"/>
        </w:trPr>
        <w:tc>
          <w:tcPr>
            <w:tcW w:w="8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Lease make-good provision</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6,170</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5,908</w:t>
            </w:r>
          </w:p>
        </w:tc>
      </w:tr>
      <w:tr>
        <w:trPr>
          <w:trHeight w:val="130"/>
        </w:trPr>
        <w:tc>
          <w:tcPr>
            <w:tcW w:w="82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Accrued pension</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1,908</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2,312</w:t>
            </w:r>
          </w:p>
        </w:tc>
      </w:tr>
      <w:tr>
        <w:trPr>
          <w:trHeight w:val="130"/>
        </w:trPr>
        <w:tc>
          <w:tcPr>
            <w:tcW w:w="820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Deferred rent liability</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3,833</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3,786</w:t>
            </w:r>
          </w:p>
        </w:tc>
      </w:tr>
      <w:tr>
        <w:trPr>
          <w:trHeight w:val="130"/>
        </w:trPr>
        <w:tc>
          <w:tcPr>
            <w:tcW w:w="8200" w:type="dxa"/>
            <w:vAlign w:val="bottom"/>
            <w:tcBorders>
              <w:bottom w:val="single" w:sz="8" w:color="CCEEFF"/>
            </w:tcBorders>
          </w:tcPr>
          <w:p>
            <w:pPr>
              <w:spacing w:after="0" w:line="130" w:lineRule="exact"/>
              <w:rPr>
                <w:sz w:val="20"/>
                <w:szCs w:val="20"/>
                <w:color w:val="auto"/>
              </w:rPr>
            </w:pPr>
            <w:r>
              <w:rPr>
                <w:rFonts w:ascii="Times New Roman" w:cs="Times New Roman" w:eastAsia="Times New Roman" w:hAnsi="Times New Roman"/>
                <w:sz w:val="12"/>
                <w:szCs w:val="12"/>
                <w:color w:val="auto"/>
              </w:rPr>
              <w:t>Environmental reserve</w:t>
            </w:r>
          </w:p>
        </w:tc>
        <w:tc>
          <w:tcPr>
            <w:tcW w:w="16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1,656</w:t>
            </w: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1,656</w:t>
            </w:r>
          </w:p>
        </w:tc>
      </w:tr>
      <w:tr>
        <w:trPr>
          <w:trHeight w:val="120"/>
        </w:trPr>
        <w:tc>
          <w:tcPr>
            <w:tcW w:w="8200" w:type="dxa"/>
            <w:vAlign w:val="bottom"/>
            <w:tcBorders>
              <w:bottom w:val="single" w:sz="8" w:color="CCEEFF"/>
            </w:tcBorders>
            <w:shd w:val="clear" w:color="auto" w:fill="CCEEFF"/>
          </w:tcPr>
          <w:p>
            <w:pPr>
              <w:ind w:left="80"/>
              <w:spacing w:after="0" w:line="120" w:lineRule="exact"/>
              <w:rPr>
                <w:sz w:val="20"/>
                <w:szCs w:val="20"/>
                <w:color w:val="auto"/>
              </w:rPr>
            </w:pPr>
            <w:r>
              <w:rPr>
                <w:rFonts w:ascii="Times New Roman" w:cs="Times New Roman" w:eastAsia="Times New Roman" w:hAnsi="Times New Roman"/>
                <w:sz w:val="12"/>
                <w:szCs w:val="12"/>
                <w:b w:val="1"/>
                <w:bCs w:val="1"/>
                <w:color w:val="auto"/>
              </w:rPr>
              <w:t>Other non-current liabilities</w:t>
            </w:r>
          </w:p>
        </w:tc>
        <w:tc>
          <w:tcPr>
            <w:tcW w:w="16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ind w:right="862"/>
              <w:spacing w:after="0" w:line="120"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w w:val="96"/>
              </w:rPr>
              <w:t>13,567</w:t>
            </w:r>
          </w:p>
        </w:tc>
        <w:tc>
          <w:tcPr>
            <w:tcW w:w="16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2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13,662</w:t>
            </w:r>
          </w:p>
        </w:tc>
      </w:tr>
    </w:tbl>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Pension Liability – Supplemental Executive Retirement Plan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Details of our Supplemental Executive Retirement Plan are disclosed in </w:t>
      </w:r>
      <w:r>
        <w:rPr>
          <w:rFonts w:ascii="Times New Roman" w:cs="Times New Roman" w:eastAsia="Times New Roman" w:hAnsi="Times New Roman"/>
          <w:sz w:val="12"/>
          <w:szCs w:val="12"/>
          <w:i w:val="1"/>
          <w:iCs w:val="1"/>
          <w:color w:val="auto"/>
        </w:rPr>
        <w:t>Note 14 – Pension and Other Liabilities</w:t>
      </w:r>
      <w:r>
        <w:rPr>
          <w:rFonts w:ascii="Times New Roman" w:cs="Times New Roman" w:eastAsia="Times New Roman" w:hAnsi="Times New Roman"/>
          <w:sz w:val="12"/>
          <w:szCs w:val="12"/>
          <w:color w:val="auto"/>
        </w:rPr>
        <w:t xml:space="preserve"> in our 2024 Form 10-K.</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246" w:right="299" w:bottom="1440" w:gutter="0" w:footer="0" w:header="0"/>
        </w:sectPr>
      </w:pPr>
    </w:p>
    <w:bookmarkStart w:id="21" w:name="page22"/>
    <w:bookmarkEnd w:id="21"/>
    <w:p>
      <w:pPr>
        <w:jc w:val="both"/>
        <w:ind w:right="20"/>
        <w:spacing w:after="0" w:line="282" w:lineRule="auto"/>
        <w:rPr>
          <w:sz w:val="20"/>
          <w:szCs w:val="20"/>
          <w:color w:val="auto"/>
        </w:rPr>
      </w:pPr>
      <w:r>
        <w:rPr>
          <w:rFonts w:ascii="Times New Roman" w:cs="Times New Roman" w:eastAsia="Times New Roman" w:hAnsi="Times New Roman"/>
          <w:sz w:val="12"/>
          <w:szCs w:val="12"/>
          <w:color w:val="auto"/>
        </w:rPr>
        <w:t>Included in our current and non-current liabilities are accrued pension costs of $2.4 million on September 30, 2025. The benefits of our pension plan are fully vested and therefore no service costs were recognized for the quarter and nine months ended September 30, 2025, and 2024. Our pension plan is unfunded.</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color w:val="auto"/>
        </w:rPr>
        <w:t>During the quarter and nine months ended September 30, 2025, the interest cost was $33,000 and $106,000, respectively, and the actuarial loss was $52,000 and $155,000, respectively. During the quarter and nine months ended September 30, 2024, the interest cost was $40,000 and $126,000, respectively, and the actuarial loss was $52,000 and $156,000, respectively.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15 – Accumulated Other Comprehensive Income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the changes in each component of accumulated other comprehensive income attributable to RDI:</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4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left="208"/>
              <w:spacing w:after="0"/>
              <w:rPr>
                <w:sz w:val="20"/>
                <w:szCs w:val="20"/>
                <w:color w:val="auto"/>
              </w:rPr>
            </w:pPr>
            <w:r>
              <w:rPr>
                <w:rFonts w:ascii="Times New Roman" w:cs="Times New Roman" w:eastAsia="Times New Roman" w:hAnsi="Times New Roman"/>
                <w:sz w:val="10"/>
                <w:szCs w:val="10"/>
                <w:b w:val="1"/>
                <w:bCs w:val="1"/>
                <w:color w:val="auto"/>
                <w:w w:val="98"/>
              </w:rPr>
              <w:t>Unrealized</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vMerge w:val="restart"/>
          </w:tcPr>
          <w:p>
            <w:pPr>
              <w:jc w:val="center"/>
              <w:ind w:left="349"/>
              <w:spacing w:after="0"/>
              <w:rPr>
                <w:sz w:val="20"/>
                <w:szCs w:val="20"/>
                <w:color w:val="auto"/>
              </w:rPr>
            </w:pPr>
            <w:r>
              <w:rPr>
                <w:rFonts w:ascii="Times New Roman" w:cs="Times New Roman" w:eastAsia="Times New Roman" w:hAnsi="Times New Roman"/>
                <w:sz w:val="10"/>
                <w:szCs w:val="10"/>
                <w:b w:val="1"/>
                <w:bCs w:val="1"/>
                <w:color w:val="auto"/>
                <w:w w:val="95"/>
              </w:rPr>
              <w:t>Foreign</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rPr>
              <w:t>Gain‎</w:t>
            </w:r>
          </w:p>
        </w:tc>
        <w:tc>
          <w:tcPr>
            <w:tcW w:w="420" w:type="dxa"/>
            <w:vAlign w:val="bottom"/>
          </w:tcPr>
          <w:p>
            <w:pPr>
              <w:ind w:left="20"/>
              <w:spacing w:after="0" w:line="103" w:lineRule="exact"/>
              <w:rPr>
                <w:sz w:val="20"/>
                <w:szCs w:val="20"/>
                <w:color w:val="auto"/>
              </w:rPr>
            </w:pPr>
            <w:r>
              <w:rPr>
                <w:rFonts w:ascii="Times New Roman" w:cs="Times New Roman" w:eastAsia="Times New Roman" w:hAnsi="Times New Roman"/>
                <w:sz w:val="10"/>
                <w:szCs w:val="10"/>
                <w:b w:val="1"/>
                <w:bCs w:val="1"/>
                <w:color w:val="auto"/>
              </w:rPr>
              <w:t>(Losses)</w:t>
            </w: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0"/>
                <w:szCs w:val="10"/>
                <w:b w:val="1"/>
                <w:bCs w:val="1"/>
                <w:color w:val="auto"/>
              </w:rPr>
              <w:t>Accrued</w:t>
            </w:r>
          </w:p>
        </w:tc>
        <w:tc>
          <w:tcPr>
            <w:tcW w:w="220" w:type="dxa"/>
            <w:vAlign w:val="bottom"/>
          </w:tcPr>
          <w:p>
            <w:pPr>
              <w:spacing w:after="0"/>
              <w:rPr>
                <w:sz w:val="8"/>
                <w:szCs w:val="8"/>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Hedge</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4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center"/>
              <w:ind w:left="228"/>
              <w:spacing w:after="0" w:line="112" w:lineRule="exact"/>
              <w:rPr>
                <w:sz w:val="20"/>
                <w:szCs w:val="20"/>
                <w:color w:val="auto"/>
              </w:rPr>
            </w:pPr>
            <w:r>
              <w:rPr>
                <w:rFonts w:ascii="Times New Roman" w:cs="Times New Roman" w:eastAsia="Times New Roman" w:hAnsi="Times New Roman"/>
                <w:sz w:val="10"/>
                <w:szCs w:val="10"/>
                <w:b w:val="1"/>
                <w:bCs w:val="1"/>
                <w:color w:val="auto"/>
                <w:w w:val="98"/>
              </w:rPr>
              <w:t>on‎ Available-</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440" w:type="dxa"/>
            <w:vAlign w:val="bottom"/>
          </w:tcPr>
          <w:p>
            <w:pPr>
              <w:spacing w:after="0"/>
              <w:rPr>
                <w:sz w:val="8"/>
                <w:szCs w:val="8"/>
                <w:color w:val="auto"/>
              </w:rPr>
            </w:pPr>
          </w:p>
        </w:tc>
        <w:tc>
          <w:tcPr>
            <w:tcW w:w="840" w:type="dxa"/>
            <w:vAlign w:val="bottom"/>
          </w:tcPr>
          <w:p>
            <w:pPr>
              <w:jc w:val="center"/>
              <w:ind w:left="349"/>
              <w:spacing w:after="0" w:line="103" w:lineRule="exact"/>
              <w:rPr>
                <w:sz w:val="20"/>
                <w:szCs w:val="20"/>
                <w:color w:val="auto"/>
              </w:rPr>
            </w:pPr>
            <w:r>
              <w:rPr>
                <w:rFonts w:ascii="Times New Roman" w:cs="Times New Roman" w:eastAsia="Times New Roman" w:hAnsi="Times New Roman"/>
                <w:sz w:val="10"/>
                <w:szCs w:val="10"/>
                <w:b w:val="1"/>
                <w:bCs w:val="1"/>
                <w:color w:val="auto"/>
                <w:w w:val="97"/>
              </w:rPr>
              <w:t>‎Currency</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tcPr>
          <w:p>
            <w:pPr>
              <w:jc w:val="center"/>
              <w:ind w:left="208"/>
              <w:spacing w:after="0" w:line="103" w:lineRule="exact"/>
              <w:rPr>
                <w:sz w:val="20"/>
                <w:szCs w:val="20"/>
                <w:color w:val="auto"/>
              </w:rPr>
            </w:pPr>
            <w:r>
              <w:rPr>
                <w:rFonts w:ascii="Times New Roman" w:cs="Times New Roman" w:eastAsia="Times New Roman" w:hAnsi="Times New Roman"/>
                <w:sz w:val="10"/>
                <w:szCs w:val="10"/>
                <w:b w:val="1"/>
                <w:bCs w:val="1"/>
                <w:color w:val="auto"/>
              </w:rPr>
              <w:t>for‎-Sale</w:t>
            </w: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gridSpan w:val="3"/>
          </w:tcPr>
          <w:p>
            <w:pPr>
              <w:ind w:left="440"/>
              <w:spacing w:after="0" w:line="103" w:lineRule="exact"/>
              <w:rPr>
                <w:sz w:val="20"/>
                <w:szCs w:val="20"/>
                <w:color w:val="auto"/>
              </w:rPr>
            </w:pPr>
            <w:r>
              <w:rPr>
                <w:rFonts w:ascii="Times New Roman" w:cs="Times New Roman" w:eastAsia="Times New Roman" w:hAnsi="Times New Roman"/>
                <w:sz w:val="10"/>
                <w:szCs w:val="10"/>
                <w:b w:val="1"/>
                <w:bCs w:val="1"/>
                <w:color w:val="auto"/>
              </w:rPr>
              <w:t>Pension‎</w:t>
            </w:r>
          </w:p>
        </w:tc>
        <w:tc>
          <w:tcPr>
            <w:tcW w:w="220" w:type="dxa"/>
            <w:vAlign w:val="bottom"/>
          </w:tcPr>
          <w:p>
            <w:pPr>
              <w:spacing w:after="0"/>
              <w:rPr>
                <w:sz w:val="8"/>
                <w:szCs w:val="8"/>
                <w:color w:val="auto"/>
              </w:rPr>
            </w:pPr>
          </w:p>
        </w:tc>
        <w:tc>
          <w:tcPr>
            <w:tcW w:w="1080" w:type="dxa"/>
            <w:vAlign w:val="bottom"/>
            <w:gridSpan w:val="2"/>
          </w:tcPr>
          <w:p>
            <w:pPr>
              <w:jc w:val="center"/>
              <w:ind w:right="280"/>
              <w:spacing w:after="0" w:line="103" w:lineRule="exact"/>
              <w:rPr>
                <w:sz w:val="20"/>
                <w:szCs w:val="20"/>
                <w:color w:val="auto"/>
              </w:rPr>
            </w:pPr>
            <w:r>
              <w:rPr>
                <w:rFonts w:ascii="Times New Roman" w:cs="Times New Roman" w:eastAsia="Times New Roman" w:hAnsi="Times New Roman"/>
                <w:sz w:val="10"/>
                <w:szCs w:val="10"/>
                <w:b w:val="1"/>
                <w:bCs w:val="1"/>
                <w:color w:val="auto"/>
                <w:w w:val="98"/>
              </w:rPr>
              <w:t>Accounting‎</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8"/>
        </w:trPr>
        <w:tc>
          <w:tcPr>
            <w:tcW w:w="414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jc w:val="center"/>
              <w:ind w:left="349"/>
              <w:spacing w:after="0"/>
              <w:rPr>
                <w:sz w:val="20"/>
                <w:szCs w:val="20"/>
                <w:color w:val="auto"/>
              </w:rPr>
            </w:pPr>
            <w:r>
              <w:rPr>
                <w:rFonts w:ascii="Times New Roman" w:cs="Times New Roman" w:eastAsia="Times New Roman" w:hAnsi="Times New Roman"/>
                <w:sz w:val="10"/>
                <w:szCs w:val="10"/>
                <w:b w:val="1"/>
                <w:bCs w:val="1"/>
                <w:color w:val="auto"/>
              </w:rPr>
              <w:t>‎Items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left="228"/>
              <w:spacing w:after="0"/>
              <w:rPr>
                <w:sz w:val="20"/>
                <w:szCs w:val="20"/>
                <w:color w:val="auto"/>
              </w:rPr>
            </w:pPr>
            <w:r>
              <w:rPr>
                <w:rFonts w:ascii="Times New Roman" w:cs="Times New Roman" w:eastAsia="Times New Roman" w:hAnsi="Times New Roman"/>
                <w:sz w:val="10"/>
                <w:szCs w:val="10"/>
                <w:b w:val="1"/>
                <w:bCs w:val="1"/>
                <w:color w:val="auto"/>
              </w:rPr>
              <w:t>Investments‎</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Service‎</w:t>
            </w:r>
          </w:p>
        </w:tc>
        <w:tc>
          <w:tcPr>
            <w:tcW w:w="7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Costs</w:t>
            </w:r>
          </w:p>
        </w:tc>
        <w:tc>
          <w:tcPr>
            <w:tcW w:w="220" w:type="dxa"/>
            <w:vAlign w:val="bottom"/>
          </w:tcPr>
          <w:p>
            <w:pPr>
              <w:spacing w:after="0"/>
              <w:rPr>
                <w:sz w:val="11"/>
                <w:szCs w:val="11"/>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4"/>
              </w:rPr>
              <w:t>Reserve‎</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14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Balance at January 1, 2025</w:t>
            </w:r>
          </w:p>
        </w:tc>
        <w:tc>
          <w:tcPr>
            <w:tcW w:w="1280" w:type="dxa"/>
            <w:vAlign w:val="bottom"/>
            <w:tcBorders>
              <w:top w:val="single" w:sz="8" w:color="auto"/>
            </w:tcBorders>
            <w:gridSpan w:val="2"/>
            <w:shd w:val="clear" w:color="auto" w:fill="CCEEFF"/>
          </w:tcPr>
          <w:p>
            <w:pPr>
              <w:jc w:val="right"/>
              <w:ind w:right="729"/>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(5,521)</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(18)</w:t>
            </w:r>
          </w:p>
        </w:tc>
        <w:tc>
          <w:tcPr>
            <w:tcW w:w="1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54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(1,497)</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78"/>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(137)</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(7,173)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4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414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Change related to derivatives</w:t>
            </w:r>
          </w:p>
        </w:tc>
        <w:tc>
          <w:tcPr>
            <w:tcW w:w="4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4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Total change in hedge fair value recorded in Other Comprehensive Income</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1"/>
                <w:szCs w:val="11"/>
                <w:color w:val="auto"/>
              </w:rPr>
            </w:pPr>
          </w:p>
        </w:tc>
        <w:tc>
          <w:tcPr>
            <w:tcW w:w="72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10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39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14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Amounts reclassified from accumulated other comprehensive income</w:t>
            </w:r>
          </w:p>
        </w:tc>
        <w:tc>
          <w:tcPr>
            <w:tcW w:w="4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2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14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color w:val="auto"/>
              </w:rPr>
              <w:t>Net change related to derivatives</w:t>
            </w:r>
          </w:p>
        </w:tc>
        <w:tc>
          <w:tcPr>
            <w:tcW w:w="4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44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14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color w:val="auto"/>
              </w:rPr>
              <w:t>Net current-period other comprehensive income (loss)</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2,384</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155</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6</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2,543</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140" w:type="dxa"/>
            <w:vAlign w:val="bottom"/>
            <w:tcBorders>
              <w:top w:val="single" w:sz="8" w:color="CCEEFF"/>
              <w:bottom w:val="single" w:sz="8" w:color="CCEEFF"/>
            </w:tcBorders>
            <w:gridSpan w:val="2"/>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Balance at September 30, 2025</w:t>
            </w:r>
          </w:p>
        </w:tc>
        <w:tc>
          <w:tcPr>
            <w:tcW w:w="440" w:type="dxa"/>
            <w:vAlign w:val="bottom"/>
            <w:tcBorders>
              <w:top w:val="single" w:sz="8" w:color="CCEEFF"/>
              <w:bottom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ind w:right="729"/>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(3,137)</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ind w:right="428"/>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(20)</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ind w:right="547"/>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(1,342)</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jc w:val="right"/>
              <w:ind w:right="78"/>
              <w:spacing w:after="0" w:line="120"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(131)</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jc w:val="right"/>
              <w:ind w:right="14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(4,630)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16 – Commitments and Contingencies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Litigation Matters</w:t>
      </w:r>
    </w:p>
    <w:p>
      <w:pPr>
        <w:spacing w:after="0" w:line="13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We are currently involved in certain legal proceedings, and we may from time to time, in the normal course of business, be a party to various ordinary course claims from vendors, landlords, tenants, employees and competitors and to other legal proceedings. If management believes that a loss arising from the action is probable and can reasonably be estimated, the Company records the amount of the loss or the minimum estimated liability when the loss is estimated using a range and no point in the range is more probable than another. Management believes that the ultimate outcome of the matters discussed below, individually and in the aggregate, will not likely have a material adverse effect on the Company’s financial position or overall trends in results of operations. However, litigation and claims are subject to inherent uncertainties and unfavorable outcomes can occur. An unfavorable outcome might include monetary damages. If an unfavorable outcome were to occur, there exists the possibility of a material adverse impact on the results of operation in the period in which the outcome occurs or in future periods. An unfavorable outcome could also have a material adverse effect on the Company’s financial position or the market prices of the Company’s securities.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Environmental and Asbestos Claims on Reading Legacy Operations</w:t>
      </w:r>
    </w:p>
    <w:p>
      <w:pPr>
        <w:spacing w:after="0" w:line="134"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2"/>
          <w:szCs w:val="12"/>
          <w:color w:val="auto"/>
        </w:rPr>
        <w:t>Certain of our subsidiaries were historically involved in railroad operations, coal mining, and manufacturing. Certain of these subsidiaries appear in the chain-of-title of properties that may suffer from environmental issues. Accordingly, certain of these subsidiaries have, from time to time, been named in and may in the future be named in various actions brought under applicable environmental laws. We are in the real estate development business and may encounter from time-to-time environmental conditions at properties that we have acquired for development and which will need to be addressed in the future as part of the development process. These environmental conditions can increase the cost of such projects and adversely affect the value and potential for profit of such projects. We do not currently believe that our exposure under applicable environmental laws is material in amount.</w:t>
      </w:r>
    </w:p>
    <w:p>
      <w:pPr>
        <w:spacing w:after="0" w:line="10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2"/>
          <w:szCs w:val="12"/>
          <w:color w:val="auto"/>
        </w:rPr>
        <w:t>From time to time, there are claims brought against us relating to the exposure of former employees to asbestos and/or coal dust. These are generally covered by an insurance settlement reached in September 1990 with our insurance providers. However, this insurance settlement does not cover litigation by people who were not employees of our historic railroad operations and who may claim direct or second-hand exposure to asbestos, coal dust and/or other chemicals or elements now recognized as potentially causing cancer in humans. Our known exposure to these types of claims, asserted or probable of being asserted, is in our opinion not material.</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248"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Certain Civil Litigation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Putative Class Action Litigation</w:t>
      </w:r>
    </w:p>
    <w:p>
      <w:pPr>
        <w:spacing w:after="0" w:line="1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 xml:space="preserve">The Company is a defendant in two actions asserting putative class action claims under the Video Privacy Protection Act (the “VPPA”): Daniel Valentini and Dallace Butler v. Reading International, Inc (2:24-cv-00255-RFB-MDC (D. Nev.)) (“The Valentini Case”), and Berryman v. Reading International, Inc. (1:24-cv-00750-PAE (S.D.N.Y.)) (“The Berryman Case”). The plaintiffs in these cases allege that the Company is a video tape service provider and knowingly disclosed plaintiff’s movie purchase and video-viewing habits to third parties in violation of the VPPA. Valentini and Butler also allege violation of a parallel state statute (California Code section 1799.3 (the “California Statute”)). Berryman also asserts claims under a similar statute (New York General Business Law Section 671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 xml:space="preserve"> (the “NY Statute”) and under the NY Arts and Cultural Affairs Law Section 25.07(4) (the “NY AC Statute”) which regulates the disclosure requirements applicable to ticketing service charges and provides a right to recover “actual damages or fifty dollars, whichever is greater.”</w:t>
      </w:r>
    </w:p>
    <w:p>
      <w:pPr>
        <w:spacing w:after="0" w:line="1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Only limited case law exists as to claims regarding the VPPA, a federal statute enacted in 1988. Insofar as we have been able to determine, no case in the U.S. has resulted in an adverse VPPA judgment against a motion picture exhibition company on facts substantially similar to our own. Further, except as discussed below, the precedent that does exist suggests that theatres with websites selling tickets to showings at physical locations are not video tape service providers under the statute, even if they operate websites to sell tickets.</w:t>
      </w:r>
    </w:p>
    <w:p>
      <w:pPr>
        <w:spacing w:after="0" w:line="1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2"/>
          <w:szCs w:val="12"/>
          <w:color w:val="auto"/>
        </w:rPr>
        <w:t>The Company has filed motions to dismiss the Valentini and the Berryman claims under Federal rule of Procedure 12(b)(6) for failure to state a claim for which relief can be provided. The Valentini motion is on hold, pending the outcome of an appeal to the Ninth Circuit of a trial court decision which the Company believes, if affirmed, will likely result in the dismissal of the Valentini case. The District Court in Berryman denied the Company’s motion, but only on the basis that all of the allegations in the Berryman complaint were assumed to be true including allegations as to knowledge. The determination by the Berryman Court at the pleadings stage that a motion picture exhibitor can be a video tape service provider is inconsistent with decisions by U.S. District Courts for the Central District and Northern District of California, Kansas, Minnesota, and North Carolina. In light of recent case law developments related to what constitutes “personally identifiable information,” the Company has filed a new motion to dismiss Berryman’s VPPA and NY Statute Claims.</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2"/>
          <w:szCs w:val="12"/>
          <w:color w:val="auto"/>
        </w:rPr>
        <w:t>The Company believes that it has valid defenses to these VPPA claims, and that there are also material issues to class certification. As the Company does not believe that liability is probable, or that any class will be certified, no reserve has been established. Damages cannot reasonably be estimated with respect to the VPPA claim.</w:t>
      </w:r>
    </w:p>
    <w:p>
      <w:pPr>
        <w:spacing w:after="0" w:line="7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2"/>
          <w:szCs w:val="12"/>
          <w:color w:val="auto"/>
        </w:rPr>
        <w:t>Berryman also asserts claims under the NY AC Statute alleging deficiencies in the disclosure provided by our Company with respect to service charges to residents of New York who purchased tickets online to our New York cinemas. We believe that our disclosure at all times satisfied the requirements of the NY AC Statute. The Company believes that it has valid defenses to this claim. As the Company does not believe that liability is probable, no reserve has been established.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Wellington Construction Damage Litigation</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A subsidiary of the Company is the defendant in litigation in Wellington, New Zealand titled (Body Corporate 78693 v Courtenay Car Park Limited &amp; Ors CIV-2021-485-612 &amp; CIV-2023-485-67) which involves various claims related to the dropping of a concrete beam onto adjacent property by a construction subcontractor working for the general contractor engaged to do demolition work on our subsidiary’s property. Trial was completed on July 25, 2025, and the court has reserved its decision on the outcome of the matter.</w:t>
      </w:r>
    </w:p>
    <w:p>
      <w:pPr>
        <w:spacing w:after="0" w:line="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2"/>
          <w:szCs w:val="12"/>
          <w:color w:val="auto"/>
        </w:rPr>
        <w:t>We believe that there is a reasonable possibility that the Company could be held liable under a contractual indemnity theory, for the defense costs incurred by our general contractor and its sub-contractor in the litigation. The Company has estimated such exposure to be in the range of $0 to $1 million. As the liability is not probable, no reserve has been accrued.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Philadelphia Code Violation Litigation</w:t>
      </w:r>
    </w:p>
    <w:p>
      <w:pPr>
        <w:spacing w:after="0" w:line="1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Subsequent to the end of the 2nd quarter of 2025, the Company was served with a petition styled City of Philadelphia-Plaintiff vs. Reading International, Inc. Control Number 25074006 filed in the Court of Common Pleas under the City’s Code Enforcement Case Program, which among other things, (i) alleges violations of certain sections of the Philadelphia Code on property allegedly owned or under the control of Reading International in Philadelphia; (ii) seeks an order imposing statutory fines and reinspection fees and allowing the Department of Licenses and Inspections to enter the premises identified as 1120 Callowhill Street, Philadelphia Pennsylvania (the “Premises”) to conduct an interior inspection; and (iii) seeks an order compelling the Defendants to correct all alleged violations. The Company is currently reviewing the claims in the Petition, and has not yet formed a view as to the scope and extent of the Company’s exposure, if any.</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246"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b w:val="1"/>
          <w:bCs w:val="1"/>
          <w:color w:val="auto"/>
        </w:rPr>
        <w:t>Note 17 – Non-controlling Interests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are composed of the following enterprises:</w:t>
      </w:r>
    </w:p>
    <w:p>
      <w:pPr>
        <w:spacing w:after="0" w:line="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Australia Country Cinemas Pty Ltd. - 25% noncontrolling interest owned by Panorama Group International Pty Ltd;</w:t>
      </w:r>
    </w:p>
    <w:p>
      <w:pPr>
        <w:spacing w:after="0" w:line="57" w:lineRule="exact"/>
        <w:rPr>
          <w:sz w:val="20"/>
          <w:szCs w:val="20"/>
          <w:color w:val="auto"/>
        </w:rPr>
      </w:pPr>
    </w:p>
    <w:p>
      <w:pPr>
        <w:ind w:left="440" w:right="20"/>
        <w:spacing w:after="0" w:line="247" w:lineRule="auto"/>
        <w:rPr>
          <w:sz w:val="20"/>
          <w:szCs w:val="20"/>
          <w:color w:val="auto"/>
        </w:rPr>
      </w:pPr>
      <w:r>
        <w:rPr>
          <w:rFonts w:ascii="Times New Roman" w:cs="Times New Roman" w:eastAsia="Times New Roman" w:hAnsi="Times New Roman"/>
          <w:sz w:val="12"/>
          <w:szCs w:val="12"/>
          <w:color w:val="auto"/>
        </w:rPr>
        <w:t>Shadow View Land and Farming, LLC - 50% noncontrolling membership interest owned by the estate of Mr. James J. Cotter, Sr. (the “Cotter Estate”). This limited liability company has no assets, known liabilities or ongoing business activities; and,</w:t>
      </w:r>
    </w:p>
    <w:p>
      <w:pPr>
        <w:ind w:left="440" w:right="280"/>
        <w:spacing w:after="0" w:line="241" w:lineRule="auto"/>
        <w:rPr>
          <w:sz w:val="20"/>
          <w:szCs w:val="20"/>
          <w:color w:val="auto"/>
        </w:rPr>
      </w:pPr>
      <w:r>
        <w:rPr>
          <w:rFonts w:ascii="Times New Roman" w:cs="Times New Roman" w:eastAsia="Times New Roman" w:hAnsi="Times New Roman"/>
          <w:sz w:val="12"/>
          <w:szCs w:val="12"/>
          <w:color w:val="auto"/>
        </w:rPr>
        <w:t>Sutton Hill Properties, LLC - 25% noncontrolling interest owned by Sutton Hill Capital, LLC (which in turn is indirectly 50% owned by the Cotter Estate). On September 30, 2025, we entered into an agreement to purchase the remaining interest in Sutton Hill Properties, LLC so that RDI will own 100% of this subsidiary, subject to satisfaction of certain terms prior to closing which is expected in Q4 2025.</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components of noncontrolling interests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jc w:val="right"/>
              <w:ind w:right="361"/>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0" w:type="dxa"/>
            <w:vAlign w:val="bottom"/>
          </w:tcPr>
          <w:p>
            <w:pPr>
              <w:spacing w:after="0"/>
              <w:rPr>
                <w:sz w:val="1"/>
                <w:szCs w:val="1"/>
                <w:color w:val="auto"/>
              </w:rPr>
            </w:pPr>
          </w:p>
        </w:tc>
      </w:tr>
      <w:tr>
        <w:trPr>
          <w:trHeight w:val="128"/>
        </w:trPr>
        <w:tc>
          <w:tcPr>
            <w:tcW w:w="5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0"/>
                <w:szCs w:val="10"/>
                <w:b w:val="1"/>
                <w:bCs w:val="1"/>
                <w:color w:val="auto"/>
              </w:rPr>
              <w:t>2025</w:t>
            </w: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0"/>
                <w:szCs w:val="10"/>
                <w:b w:val="1"/>
                <w:bCs w:val="1"/>
                <w:color w:val="auto"/>
              </w:rPr>
              <w:t>2024</w:t>
            </w:r>
          </w:p>
        </w:tc>
        <w:tc>
          <w:tcPr>
            <w:tcW w:w="0" w:type="dxa"/>
            <w:vAlign w:val="bottom"/>
          </w:tcPr>
          <w:p>
            <w:pPr>
              <w:spacing w:after="0"/>
              <w:rPr>
                <w:sz w:val="1"/>
                <w:szCs w:val="1"/>
                <w:color w:val="auto"/>
              </w:rPr>
            </w:pPr>
          </w:p>
        </w:tc>
      </w:tr>
      <w:tr>
        <w:trPr>
          <w:trHeight w:val="129"/>
        </w:trPr>
        <w:tc>
          <w:tcPr>
            <w:tcW w:w="53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Australian Country Cinemas, Pty Ltd</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103"/>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126</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128</w:t>
            </w:r>
          </w:p>
        </w:tc>
        <w:tc>
          <w:tcPr>
            <w:tcW w:w="0" w:type="dxa"/>
            <w:vAlign w:val="bottom"/>
          </w:tcPr>
          <w:p>
            <w:pPr>
              <w:spacing w:after="0"/>
              <w:rPr>
                <w:sz w:val="1"/>
                <w:szCs w:val="1"/>
                <w:color w:val="auto"/>
              </w:rPr>
            </w:pPr>
          </w:p>
        </w:tc>
      </w:tr>
      <w:tr>
        <w:trPr>
          <w:trHeight w:val="130"/>
        </w:trPr>
        <w:tc>
          <w:tcPr>
            <w:tcW w:w="532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color w:val="auto"/>
              </w:rPr>
              <w:t>Shadow View Land and Farming, LLC</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30"/>
        </w:trPr>
        <w:tc>
          <w:tcPr>
            <w:tcW w:w="532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Sutton Hill Properties, LLC</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(1,074)</w:t>
            </w:r>
          </w:p>
        </w:tc>
        <w:tc>
          <w:tcPr>
            <w:tcW w:w="16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(552)</w:t>
            </w:r>
          </w:p>
        </w:tc>
        <w:tc>
          <w:tcPr>
            <w:tcW w:w="0" w:type="dxa"/>
            <w:vAlign w:val="bottom"/>
          </w:tcPr>
          <w:p>
            <w:pPr>
              <w:spacing w:after="0"/>
              <w:rPr>
                <w:sz w:val="1"/>
                <w:szCs w:val="1"/>
                <w:color w:val="auto"/>
              </w:rPr>
            </w:pPr>
          </w:p>
        </w:tc>
      </w:tr>
      <w:tr>
        <w:trPr>
          <w:trHeight w:val="120"/>
        </w:trPr>
        <w:tc>
          <w:tcPr>
            <w:tcW w:w="532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Noncontrolling interests in consolidated subsidiaries</w:t>
            </w: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bottom w:val="single" w:sz="8" w:color="auto"/>
            </w:tcBorders>
            <w:gridSpan w:val="2"/>
          </w:tcPr>
          <w:p>
            <w:pPr>
              <w:jc w:val="right"/>
              <w:ind w:right="103"/>
              <w:spacing w:after="0" w:line="120"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(950)</w:t>
            </w:r>
          </w:p>
        </w:tc>
        <w:tc>
          <w:tcPr>
            <w:tcW w:w="160" w:type="dxa"/>
            <w:vAlign w:val="bottom"/>
          </w:tcPr>
          <w:p>
            <w:pPr>
              <w:spacing w:after="0"/>
              <w:rPr>
                <w:sz w:val="10"/>
                <w:szCs w:val="10"/>
                <w:color w:val="auto"/>
              </w:rPr>
            </w:pPr>
          </w:p>
        </w:tc>
        <w:tc>
          <w:tcPr>
            <w:tcW w:w="380" w:type="dxa"/>
            <w:vAlign w:val="bottom"/>
            <w:tcBorders>
              <w:bottom w:val="single" w:sz="8" w:color="auto"/>
            </w:tcBorders>
            <w:gridSpan w:val="2"/>
          </w:tcPr>
          <w:p>
            <w:pPr>
              <w:jc w:val="right"/>
              <w:ind w:right="26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(426)</w:t>
            </w:r>
          </w:p>
        </w:tc>
        <w:tc>
          <w:tcPr>
            <w:tcW w:w="0" w:type="dxa"/>
            <w:vAlign w:val="bottom"/>
          </w:tcPr>
          <w:p>
            <w:pPr>
              <w:spacing w:after="0"/>
              <w:rPr>
                <w:sz w:val="1"/>
                <w:szCs w:val="1"/>
                <w:color w:val="auto"/>
              </w:rPr>
            </w:pPr>
          </w:p>
        </w:tc>
      </w:tr>
      <w:tr>
        <w:trPr>
          <w:trHeight w:val="268"/>
        </w:trPr>
        <w:tc>
          <w:tcPr>
            <w:tcW w:w="5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components of income attributable to noncontrolling interests are as follows: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3"/>
          </w:tcPr>
          <w:p>
            <w:pPr>
              <w:jc w:val="right"/>
              <w:ind w:right="123"/>
              <w:spacing w:after="0"/>
              <w:rPr>
                <w:sz w:val="20"/>
                <w:szCs w:val="20"/>
                <w:color w:val="auto"/>
              </w:rPr>
            </w:pPr>
            <w:r>
              <w:rPr>
                <w:rFonts w:ascii="Times New Roman" w:cs="Times New Roman" w:eastAsia="Times New Roman" w:hAnsi="Times New Roman"/>
                <w:sz w:val="10"/>
                <w:szCs w:val="10"/>
                <w:b w:val="1"/>
                <w:bCs w:val="1"/>
                <w:color w:val="auto"/>
              </w:rPr>
              <w:t>Quarter Ended</w:t>
            </w: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3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jc w:val="right"/>
              <w:ind w:right="143"/>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4"/>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53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jc w:val="right"/>
              <w:ind w:right="523"/>
              <w:spacing w:after="0" w:line="111" w:lineRule="exact"/>
              <w:rPr>
                <w:sz w:val="20"/>
                <w:szCs w:val="20"/>
                <w:color w:val="auto"/>
              </w:rPr>
            </w:pPr>
            <w:r>
              <w:rPr>
                <w:rFonts w:ascii="Times New Roman" w:cs="Times New Roman" w:eastAsia="Times New Roman" w:hAnsi="Times New Roman"/>
                <w:sz w:val="10"/>
                <w:szCs w:val="10"/>
                <w:b w:val="1"/>
                <w:bCs w:val="1"/>
                <w:color w:val="auto"/>
              </w:rPr>
              <w:t>2025</w:t>
            </w: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jc w:val="right"/>
              <w:ind w:right="520"/>
              <w:spacing w:after="0" w:line="111" w:lineRule="exact"/>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jc w:val="right"/>
              <w:ind w:right="523"/>
              <w:spacing w:after="0" w:line="111" w:lineRule="exact"/>
              <w:rPr>
                <w:sz w:val="20"/>
                <w:szCs w:val="20"/>
                <w:color w:val="auto"/>
              </w:rPr>
            </w:pPr>
            <w:r>
              <w:rPr>
                <w:rFonts w:ascii="Times New Roman" w:cs="Times New Roman" w:eastAsia="Times New Roman" w:hAnsi="Times New Roman"/>
                <w:sz w:val="10"/>
                <w:szCs w:val="10"/>
                <w:b w:val="1"/>
                <w:bCs w:val="1"/>
                <w:color w:val="auto"/>
              </w:rPr>
              <w:t>2025</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20" w:type="dxa"/>
            <w:vAlign w:val="bottom"/>
          </w:tcPr>
          <w:p>
            <w:pPr>
              <w:jc w:val="right"/>
              <w:ind w:right="541"/>
              <w:spacing w:after="0" w:line="111" w:lineRule="exact"/>
              <w:rPr>
                <w:sz w:val="20"/>
                <w:szCs w:val="20"/>
                <w:color w:val="auto"/>
              </w:rPr>
            </w:pPr>
            <w:r>
              <w:rPr>
                <w:rFonts w:ascii="Times New Roman" w:cs="Times New Roman" w:eastAsia="Times New Roman" w:hAnsi="Times New Roman"/>
                <w:sz w:val="10"/>
                <w:szCs w:val="10"/>
                <w:b w:val="1"/>
                <w:bCs w:val="1"/>
                <w:color w:val="auto"/>
              </w:rPr>
              <w:t>2024</w:t>
            </w:r>
          </w:p>
        </w:tc>
        <w:tc>
          <w:tcPr>
            <w:tcW w:w="0" w:type="dxa"/>
            <w:vAlign w:val="bottom"/>
          </w:tcPr>
          <w:p>
            <w:pPr>
              <w:spacing w:after="0"/>
              <w:rPr>
                <w:sz w:val="1"/>
                <w:szCs w:val="1"/>
                <w:color w:val="auto"/>
              </w:rPr>
            </w:pPr>
          </w:p>
        </w:tc>
      </w:tr>
      <w:tr>
        <w:trPr>
          <w:trHeight w:val="129"/>
        </w:trPr>
        <w:tc>
          <w:tcPr>
            <w:tcW w:w="51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Australian Country Cinemas, Pty Ltd</w:t>
            </w:r>
          </w:p>
        </w:tc>
        <w:tc>
          <w:tcPr>
            <w:tcW w:w="1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ind w:right="3"/>
              <w:spacing w:after="0" w:line="129" w:lineRule="exact"/>
              <w:rPr>
                <w:sz w:val="20"/>
                <w:szCs w:val="20"/>
                <w:color w:val="auto"/>
              </w:rPr>
            </w:pPr>
            <w:r>
              <w:rPr>
                <w:rFonts w:ascii="Times New Roman" w:cs="Times New Roman" w:eastAsia="Times New Roman" w:hAnsi="Times New Roman"/>
                <w:sz w:val="12"/>
                <w:szCs w:val="12"/>
                <w:color w:val="auto"/>
              </w:rPr>
              <w:t>15</w:t>
            </w:r>
          </w:p>
        </w:tc>
        <w:tc>
          <w:tcPr>
            <w:tcW w:w="1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39</w:t>
            </w:r>
          </w:p>
        </w:tc>
        <w:tc>
          <w:tcPr>
            <w:tcW w:w="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gridSpan w:val="2"/>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45</w:t>
            </w:r>
          </w:p>
        </w:tc>
        <w:tc>
          <w:tcPr>
            <w:tcW w:w="1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gridSpan w:val="2"/>
            <w:shd w:val="clear" w:color="auto" w:fill="CCEEFF"/>
          </w:tcPr>
          <w:p>
            <w:pPr>
              <w:jc w:val="right"/>
              <w:ind w:right="243"/>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130"/>
        </w:trPr>
        <w:tc>
          <w:tcPr>
            <w:tcW w:w="532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color w:val="auto"/>
              </w:rPr>
              <w:t>Shadow View Land and Farming, LLC</w:t>
            </w:r>
          </w:p>
        </w:tc>
        <w:tc>
          <w:tcPr>
            <w:tcW w:w="320" w:type="dxa"/>
            <w:vAlign w:val="bottom"/>
          </w:tcPr>
          <w:p>
            <w:pPr>
              <w:spacing w:after="0"/>
              <w:rPr>
                <w:sz w:val="11"/>
                <w:szCs w:val="11"/>
                <w:color w:val="auto"/>
              </w:rPr>
            </w:pPr>
          </w:p>
        </w:tc>
        <w:tc>
          <w:tcPr>
            <w:tcW w:w="120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1"/>
                <w:szCs w:val="11"/>
                <w:color w:val="auto"/>
              </w:rPr>
            </w:pPr>
          </w:p>
        </w:tc>
        <w:tc>
          <w:tcPr>
            <w:tcW w:w="960" w:type="dxa"/>
            <w:vAlign w:val="bottom"/>
            <w:gridSpan w:val="2"/>
          </w:tcPr>
          <w:p>
            <w:pPr>
              <w:jc w:val="right"/>
              <w:ind w:right="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0"/>
        </w:trPr>
        <w:tc>
          <w:tcPr>
            <w:tcW w:w="532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Sutton Hill Properties, LLC</w:t>
            </w:r>
          </w:p>
        </w:tc>
        <w:tc>
          <w:tcPr>
            <w:tcW w:w="32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(163)</w:t>
            </w:r>
          </w:p>
        </w:tc>
        <w:tc>
          <w:tcPr>
            <w:tcW w:w="4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(150)</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(522)</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(511)</w:t>
            </w:r>
          </w:p>
        </w:tc>
        <w:tc>
          <w:tcPr>
            <w:tcW w:w="0" w:type="dxa"/>
            <w:vAlign w:val="bottom"/>
          </w:tcPr>
          <w:p>
            <w:pPr>
              <w:spacing w:after="0"/>
              <w:rPr>
                <w:sz w:val="1"/>
                <w:szCs w:val="1"/>
                <w:color w:val="auto"/>
              </w:rPr>
            </w:pPr>
          </w:p>
        </w:tc>
      </w:tr>
      <w:tr>
        <w:trPr>
          <w:trHeight w:val="120"/>
        </w:trPr>
        <w:tc>
          <w:tcPr>
            <w:tcW w:w="532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Net income (loss) attributable to noncontrolling interests</w:t>
            </w:r>
          </w:p>
        </w:tc>
        <w:tc>
          <w:tcPr>
            <w:tcW w:w="320" w:type="dxa"/>
            <w:vAlign w:val="bottom"/>
            <w:tcBorders>
              <w:top w:val="single" w:sz="8" w:color="auto"/>
              <w:bottom w:val="single" w:sz="8" w:color="auto"/>
            </w:tcBorders>
          </w:tcPr>
          <w:p>
            <w:pPr>
              <w:jc w:val="right"/>
              <w:ind w:right="20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(148)</w:t>
            </w:r>
          </w:p>
        </w:tc>
        <w:tc>
          <w:tcPr>
            <w:tcW w:w="160" w:type="dxa"/>
            <w:vAlign w:val="bottom"/>
          </w:tcPr>
          <w:p>
            <w:pPr>
              <w:spacing w:after="0"/>
              <w:rPr>
                <w:sz w:val="10"/>
                <w:szCs w:val="10"/>
                <w:color w:val="auto"/>
              </w:rPr>
            </w:pPr>
          </w:p>
        </w:tc>
        <w:tc>
          <w:tcPr>
            <w:tcW w:w="420" w:type="dxa"/>
            <w:vAlign w:val="bottom"/>
            <w:tcBorders>
              <w:top w:val="single" w:sz="8" w:color="auto"/>
              <w:bottom w:val="single" w:sz="8" w:color="auto"/>
            </w:tcBorders>
          </w:tcPr>
          <w:p>
            <w:pPr>
              <w:jc w:val="right"/>
              <w:ind w:right="30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gridSpan w:val="2"/>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(111)</w:t>
            </w:r>
          </w:p>
        </w:tc>
        <w:tc>
          <w:tcPr>
            <w:tcW w:w="160" w:type="dxa"/>
            <w:vAlign w:val="bottom"/>
            <w:gridSpan w:val="2"/>
          </w:tcPr>
          <w:p>
            <w:pPr>
              <w:spacing w:after="0"/>
              <w:rPr>
                <w:sz w:val="10"/>
                <w:szCs w:val="10"/>
                <w:color w:val="auto"/>
              </w:rPr>
            </w:pPr>
          </w:p>
        </w:tc>
        <w:tc>
          <w:tcPr>
            <w:tcW w:w="220" w:type="dxa"/>
            <w:vAlign w:val="bottom"/>
            <w:tcBorders>
              <w:top w:val="single" w:sz="8" w:color="auto"/>
              <w:bottom w:val="single" w:sz="8" w:color="auto"/>
            </w:tcBorders>
          </w:tcPr>
          <w:p>
            <w:pPr>
              <w:jc w:val="right"/>
              <w:ind w:right="10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(477)</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24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(481)</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Summary of Controlling and Noncontrolling Stockholders’ Equity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summary of the changes in controlling and noncontrolling stockholders’ equity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25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center"/>
              <w:ind w:right="257"/>
              <w:spacing w:after="0"/>
              <w:rPr>
                <w:sz w:val="20"/>
                <w:szCs w:val="20"/>
                <w:color w:val="auto"/>
              </w:rPr>
            </w:pPr>
            <w:r>
              <w:rPr>
                <w:rFonts w:ascii="Times New Roman" w:cs="Times New Roman" w:eastAsia="Times New Roman" w:hAnsi="Times New Roman"/>
                <w:sz w:val="9"/>
                <w:szCs w:val="9"/>
                <w:b w:val="1"/>
                <w:bCs w:val="1"/>
                <w:color w:val="auto"/>
                <w:w w:val="98"/>
              </w:rPr>
              <w:t>Retained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9"/>
                <w:szCs w:val="9"/>
                <w:b w:val="1"/>
                <w:bCs w:val="1"/>
                <w:color w:val="auto"/>
                <w:w w:val="94"/>
              </w:rPr>
              <w:t>Accumulated</w:t>
            </w: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jc w:val="center"/>
              <w:ind w:right="317"/>
              <w:spacing w:after="0"/>
              <w:rPr>
                <w:sz w:val="20"/>
                <w:szCs w:val="20"/>
                <w:color w:val="auto"/>
              </w:rPr>
            </w:pPr>
            <w:r>
              <w:rPr>
                <w:rFonts w:ascii="Times New Roman" w:cs="Times New Roman" w:eastAsia="Times New Roman" w:hAnsi="Times New Roman"/>
                <w:sz w:val="9"/>
                <w:szCs w:val="9"/>
                <w:b w:val="1"/>
                <w:bCs w:val="1"/>
                <w:color w:val="auto"/>
                <w:w w:val="99"/>
              </w:rPr>
              <w:t>Reading</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70"/>
        </w:trPr>
        <w:tc>
          <w:tcPr>
            <w:tcW w:w="25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auto"/>
              </w:rPr>
              <w:t>Class A</w:t>
            </w:r>
          </w:p>
        </w:tc>
        <w:tc>
          <w:tcPr>
            <w:tcW w:w="480" w:type="dxa"/>
            <w:vAlign w:val="bottom"/>
            <w:tcBorders>
              <w:right w:val="single" w:sz="8" w:color="auto"/>
            </w:tcBorders>
            <w:gridSpan w:val="2"/>
          </w:tcPr>
          <w:p>
            <w:pPr>
              <w:jc w:val="right"/>
              <w:ind w:right="77"/>
              <w:spacing w:after="0" w:line="70" w:lineRule="exact"/>
              <w:rPr>
                <w:sz w:val="20"/>
                <w:szCs w:val="20"/>
                <w:color w:val="auto"/>
              </w:rPr>
            </w:pPr>
            <w:r>
              <w:rPr>
                <w:rFonts w:ascii="Times New Roman" w:cs="Times New Roman" w:eastAsia="Times New Roman" w:hAnsi="Times New Roman"/>
                <w:sz w:val="8"/>
                <w:szCs w:val="8"/>
                <w:b w:val="1"/>
                <w:bCs w:val="1"/>
                <w:color w:val="auto"/>
              </w:rPr>
              <w:t>Class A</w:t>
            </w:r>
          </w:p>
        </w:tc>
        <w:tc>
          <w:tcPr>
            <w:tcW w:w="520" w:type="dxa"/>
            <w:vAlign w:val="bottom"/>
          </w:tcPr>
          <w:p>
            <w:pPr>
              <w:jc w:val="center"/>
              <w:ind w:left="158"/>
              <w:spacing w:after="0" w:line="70" w:lineRule="exact"/>
              <w:rPr>
                <w:sz w:val="20"/>
                <w:szCs w:val="20"/>
                <w:color w:val="auto"/>
              </w:rPr>
            </w:pPr>
            <w:r>
              <w:rPr>
                <w:rFonts w:ascii="Times New Roman" w:cs="Times New Roman" w:eastAsia="Times New Roman" w:hAnsi="Times New Roman"/>
                <w:sz w:val="8"/>
                <w:szCs w:val="8"/>
                <w:b w:val="1"/>
                <w:bCs w:val="1"/>
                <w:color w:val="auto"/>
              </w:rPr>
              <w:t>Class B</w:t>
            </w:r>
          </w:p>
        </w:tc>
        <w:tc>
          <w:tcPr>
            <w:tcW w:w="240" w:type="dxa"/>
            <w:vAlign w:val="bottom"/>
            <w:tcBorders>
              <w:right w:val="single" w:sz="8" w:color="auto"/>
            </w:tcBorders>
          </w:tcPr>
          <w:p>
            <w:pPr>
              <w:spacing w:after="0"/>
              <w:rPr>
                <w:sz w:val="6"/>
                <w:szCs w:val="6"/>
                <w:color w:val="auto"/>
              </w:rPr>
            </w:pPr>
          </w:p>
        </w:tc>
        <w:tc>
          <w:tcPr>
            <w:tcW w:w="520" w:type="dxa"/>
            <w:vAlign w:val="bottom"/>
            <w:tcBorders>
              <w:right w:val="single" w:sz="8" w:color="auto"/>
            </w:tcBorders>
            <w:gridSpan w:val="2"/>
          </w:tcPr>
          <w:p>
            <w:pPr>
              <w:jc w:val="right"/>
              <w:ind w:right="97"/>
              <w:spacing w:after="0" w:line="70" w:lineRule="exact"/>
              <w:rPr>
                <w:sz w:val="20"/>
                <w:szCs w:val="20"/>
                <w:color w:val="auto"/>
              </w:rPr>
            </w:pPr>
            <w:r>
              <w:rPr>
                <w:rFonts w:ascii="Times New Roman" w:cs="Times New Roman" w:eastAsia="Times New Roman" w:hAnsi="Times New Roman"/>
                <w:sz w:val="8"/>
                <w:szCs w:val="8"/>
                <w:b w:val="1"/>
                <w:bCs w:val="1"/>
                <w:color w:val="auto"/>
              </w:rPr>
              <w:t>Class B</w:t>
            </w:r>
          </w:p>
        </w:tc>
        <w:tc>
          <w:tcPr>
            <w:tcW w:w="140" w:type="dxa"/>
            <w:vAlign w:val="bottom"/>
          </w:tcPr>
          <w:p>
            <w:pPr>
              <w:spacing w:after="0"/>
              <w:rPr>
                <w:sz w:val="6"/>
                <w:szCs w:val="6"/>
                <w:color w:val="auto"/>
              </w:rPr>
            </w:pPr>
          </w:p>
        </w:tc>
        <w:tc>
          <w:tcPr>
            <w:tcW w:w="640" w:type="dxa"/>
            <w:vAlign w:val="bottom"/>
          </w:tcPr>
          <w:p>
            <w:pPr>
              <w:jc w:val="center"/>
              <w:ind w:right="117"/>
              <w:spacing w:after="0" w:line="70" w:lineRule="exact"/>
              <w:rPr>
                <w:sz w:val="20"/>
                <w:szCs w:val="20"/>
                <w:color w:val="auto"/>
              </w:rPr>
            </w:pPr>
            <w:r>
              <w:rPr>
                <w:rFonts w:ascii="Times New Roman" w:cs="Times New Roman" w:eastAsia="Times New Roman" w:hAnsi="Times New Roman"/>
                <w:sz w:val="8"/>
                <w:szCs w:val="8"/>
                <w:b w:val="1"/>
                <w:bCs w:val="1"/>
                <w:color w:val="auto"/>
              </w:rPr>
              <w:t>Additional</w:t>
            </w:r>
          </w:p>
        </w:tc>
        <w:tc>
          <w:tcPr>
            <w:tcW w:w="180" w:type="dxa"/>
            <w:vAlign w:val="bottom"/>
          </w:tcPr>
          <w:p>
            <w:pPr>
              <w:spacing w:after="0"/>
              <w:rPr>
                <w:sz w:val="6"/>
                <w:szCs w:val="6"/>
                <w:color w:val="auto"/>
              </w:rPr>
            </w:pPr>
          </w:p>
        </w:tc>
        <w:tc>
          <w:tcPr>
            <w:tcW w:w="680" w:type="dxa"/>
            <w:vAlign w:val="bottom"/>
          </w:tcPr>
          <w:p>
            <w:pPr>
              <w:jc w:val="center"/>
              <w:ind w:right="257"/>
              <w:spacing w:after="0" w:line="70" w:lineRule="exact"/>
              <w:rPr>
                <w:sz w:val="20"/>
                <w:szCs w:val="20"/>
                <w:color w:val="auto"/>
              </w:rPr>
            </w:pPr>
            <w:r>
              <w:rPr>
                <w:rFonts w:ascii="Times New Roman" w:cs="Times New Roman" w:eastAsia="Times New Roman" w:hAnsi="Times New Roman"/>
                <w:sz w:val="8"/>
                <w:szCs w:val="8"/>
                <w:b w:val="1"/>
                <w:bCs w:val="1"/>
                <w:color w:val="auto"/>
              </w:rPr>
              <w:t>Earnings</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ind w:left="280"/>
              <w:spacing w:after="0" w:line="70" w:lineRule="exact"/>
              <w:rPr>
                <w:sz w:val="20"/>
                <w:szCs w:val="20"/>
                <w:color w:val="auto"/>
              </w:rPr>
            </w:pPr>
            <w:r>
              <w:rPr>
                <w:rFonts w:ascii="Times New Roman" w:cs="Times New Roman" w:eastAsia="Times New Roman" w:hAnsi="Times New Roman"/>
                <w:sz w:val="8"/>
                <w:szCs w:val="8"/>
                <w:b w:val="1"/>
                <w:bCs w:val="1"/>
                <w:color w:val="auto"/>
              </w:rPr>
              <w:t>Other</w:t>
            </w:r>
          </w:p>
        </w:tc>
        <w:tc>
          <w:tcPr>
            <w:tcW w:w="380" w:type="dxa"/>
            <w:vAlign w:val="bottom"/>
          </w:tcPr>
          <w:p>
            <w:pPr>
              <w:spacing w:after="0"/>
              <w:rPr>
                <w:sz w:val="6"/>
                <w:szCs w:val="6"/>
                <w:color w:val="auto"/>
              </w:rPr>
            </w:pPr>
          </w:p>
        </w:tc>
        <w:tc>
          <w:tcPr>
            <w:tcW w:w="1060" w:type="dxa"/>
            <w:vAlign w:val="bottom"/>
            <w:gridSpan w:val="2"/>
          </w:tcPr>
          <w:p>
            <w:pPr>
              <w:jc w:val="center"/>
              <w:ind w:right="157"/>
              <w:spacing w:after="0" w:line="70" w:lineRule="exact"/>
              <w:rPr>
                <w:sz w:val="20"/>
                <w:szCs w:val="20"/>
                <w:color w:val="auto"/>
              </w:rPr>
            </w:pPr>
            <w:r>
              <w:rPr>
                <w:rFonts w:ascii="Times New Roman" w:cs="Times New Roman" w:eastAsia="Times New Roman" w:hAnsi="Times New Roman"/>
                <w:sz w:val="8"/>
                <w:szCs w:val="8"/>
                <w:b w:val="1"/>
                <w:bCs w:val="1"/>
                <w:color w:val="auto"/>
              </w:rPr>
              <w:t>International Inc.</w:t>
            </w: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tcPr>
          <w:p>
            <w:pPr>
              <w:jc w:val="center"/>
              <w:ind w:right="180"/>
              <w:spacing w:after="0" w:line="70" w:lineRule="exact"/>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3"/>
        </w:trPr>
        <w:tc>
          <w:tcPr>
            <w:tcW w:w="256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jc w:val="center"/>
              <w:spacing w:after="0" w:line="94" w:lineRule="exact"/>
              <w:rPr>
                <w:sz w:val="20"/>
                <w:szCs w:val="20"/>
                <w:color w:val="auto"/>
              </w:rPr>
            </w:pPr>
            <w:r>
              <w:rPr>
                <w:rFonts w:ascii="Times New Roman" w:cs="Times New Roman" w:eastAsia="Times New Roman" w:hAnsi="Times New Roman"/>
                <w:sz w:val="9"/>
                <w:szCs w:val="9"/>
                <w:b w:val="1"/>
                <w:bCs w:val="1"/>
                <w:color w:val="auto"/>
                <w:w w:val="93"/>
              </w:rPr>
              <w:t>Non-Voting</w:t>
            </w:r>
          </w:p>
        </w:tc>
        <w:tc>
          <w:tcPr>
            <w:tcW w:w="480" w:type="dxa"/>
            <w:vAlign w:val="bottom"/>
            <w:tcBorders>
              <w:right w:val="single" w:sz="8" w:color="auto"/>
            </w:tcBorders>
            <w:gridSpan w:val="2"/>
          </w:tcPr>
          <w:p>
            <w:pPr>
              <w:jc w:val="right"/>
              <w:ind w:right="137"/>
              <w:spacing w:after="0" w:line="94" w:lineRule="exact"/>
              <w:rPr>
                <w:sz w:val="20"/>
                <w:szCs w:val="20"/>
                <w:color w:val="auto"/>
              </w:rPr>
            </w:pPr>
            <w:r>
              <w:rPr>
                <w:rFonts w:ascii="Times New Roman" w:cs="Times New Roman" w:eastAsia="Times New Roman" w:hAnsi="Times New Roman"/>
                <w:sz w:val="9"/>
                <w:szCs w:val="9"/>
                <w:b w:val="1"/>
                <w:bCs w:val="1"/>
                <w:color w:val="auto"/>
              </w:rPr>
              <w:t>Par</w:t>
            </w:r>
          </w:p>
        </w:tc>
        <w:tc>
          <w:tcPr>
            <w:tcW w:w="520" w:type="dxa"/>
            <w:vAlign w:val="bottom"/>
          </w:tcPr>
          <w:p>
            <w:pPr>
              <w:jc w:val="center"/>
              <w:ind w:left="158"/>
              <w:spacing w:after="0" w:line="94" w:lineRule="exact"/>
              <w:rPr>
                <w:sz w:val="20"/>
                <w:szCs w:val="20"/>
                <w:color w:val="auto"/>
              </w:rPr>
            </w:pPr>
            <w:r>
              <w:rPr>
                <w:rFonts w:ascii="Times New Roman" w:cs="Times New Roman" w:eastAsia="Times New Roman" w:hAnsi="Times New Roman"/>
                <w:sz w:val="9"/>
                <w:szCs w:val="9"/>
                <w:b w:val="1"/>
                <w:bCs w:val="1"/>
                <w:color w:val="auto"/>
                <w:w w:val="92"/>
              </w:rPr>
              <w:t>Voting</w:t>
            </w:r>
          </w:p>
        </w:tc>
        <w:tc>
          <w:tcPr>
            <w:tcW w:w="24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right w:val="single" w:sz="8" w:color="auto"/>
            </w:tcBorders>
          </w:tcPr>
          <w:p>
            <w:pPr>
              <w:jc w:val="right"/>
              <w:ind w:right="157"/>
              <w:spacing w:after="0" w:line="94" w:lineRule="exact"/>
              <w:rPr>
                <w:sz w:val="20"/>
                <w:szCs w:val="20"/>
                <w:color w:val="auto"/>
              </w:rPr>
            </w:pPr>
            <w:r>
              <w:rPr>
                <w:rFonts w:ascii="Times New Roman" w:cs="Times New Roman" w:eastAsia="Times New Roman" w:hAnsi="Times New Roman"/>
                <w:sz w:val="9"/>
                <w:szCs w:val="9"/>
                <w:b w:val="1"/>
                <w:bCs w:val="1"/>
                <w:color w:val="auto"/>
                <w:w w:val="99"/>
              </w:rPr>
              <w:t>Par</w:t>
            </w:r>
          </w:p>
        </w:tc>
        <w:tc>
          <w:tcPr>
            <w:tcW w:w="140" w:type="dxa"/>
            <w:vAlign w:val="bottom"/>
          </w:tcPr>
          <w:p>
            <w:pPr>
              <w:spacing w:after="0"/>
              <w:rPr>
                <w:sz w:val="8"/>
                <w:szCs w:val="8"/>
                <w:color w:val="auto"/>
              </w:rPr>
            </w:pPr>
          </w:p>
        </w:tc>
        <w:tc>
          <w:tcPr>
            <w:tcW w:w="640" w:type="dxa"/>
            <w:vAlign w:val="bottom"/>
          </w:tcPr>
          <w:p>
            <w:pPr>
              <w:jc w:val="center"/>
              <w:ind w:right="117"/>
              <w:spacing w:after="0" w:line="94" w:lineRule="exact"/>
              <w:rPr>
                <w:sz w:val="20"/>
                <w:szCs w:val="20"/>
                <w:color w:val="auto"/>
              </w:rPr>
            </w:pPr>
            <w:r>
              <w:rPr>
                <w:rFonts w:ascii="Times New Roman" w:cs="Times New Roman" w:eastAsia="Times New Roman" w:hAnsi="Times New Roman"/>
                <w:sz w:val="9"/>
                <w:szCs w:val="9"/>
                <w:b w:val="1"/>
                <w:bCs w:val="1"/>
                <w:color w:val="auto"/>
                <w:w w:val="96"/>
              </w:rPr>
              <w:t>Paid-In</w:t>
            </w:r>
          </w:p>
        </w:tc>
        <w:tc>
          <w:tcPr>
            <w:tcW w:w="860" w:type="dxa"/>
            <w:vAlign w:val="bottom"/>
            <w:gridSpan w:val="2"/>
          </w:tcPr>
          <w:p>
            <w:pPr>
              <w:jc w:val="center"/>
              <w:ind w:right="97"/>
              <w:spacing w:after="0" w:line="94" w:lineRule="exact"/>
              <w:rPr>
                <w:sz w:val="20"/>
                <w:szCs w:val="20"/>
                <w:color w:val="auto"/>
              </w:rPr>
            </w:pPr>
            <w:r>
              <w:rPr>
                <w:rFonts w:ascii="Times New Roman" w:cs="Times New Roman" w:eastAsia="Times New Roman" w:hAnsi="Times New Roman"/>
                <w:sz w:val="9"/>
                <w:szCs w:val="9"/>
                <w:b w:val="1"/>
                <w:bCs w:val="1"/>
                <w:color w:val="auto"/>
                <w:w w:val="96"/>
              </w:rPr>
              <w:t>(Accumulated</w:t>
            </w:r>
          </w:p>
        </w:tc>
        <w:tc>
          <w:tcPr>
            <w:tcW w:w="100" w:type="dxa"/>
            <w:vAlign w:val="bottom"/>
          </w:tcPr>
          <w:p>
            <w:pPr>
              <w:spacing w:after="0"/>
              <w:rPr>
                <w:sz w:val="8"/>
                <w:szCs w:val="8"/>
                <w:color w:val="auto"/>
              </w:rPr>
            </w:pPr>
          </w:p>
        </w:tc>
        <w:tc>
          <w:tcPr>
            <w:tcW w:w="640" w:type="dxa"/>
            <w:vAlign w:val="bottom"/>
          </w:tcPr>
          <w:p>
            <w:pPr>
              <w:jc w:val="right"/>
              <w:ind w:right="217"/>
              <w:spacing w:after="0" w:line="94" w:lineRule="exact"/>
              <w:rPr>
                <w:sz w:val="20"/>
                <w:szCs w:val="20"/>
                <w:color w:val="auto"/>
              </w:rPr>
            </w:pPr>
            <w:r>
              <w:rPr>
                <w:rFonts w:ascii="Times New Roman" w:cs="Times New Roman" w:eastAsia="Times New Roman" w:hAnsi="Times New Roman"/>
                <w:sz w:val="9"/>
                <w:szCs w:val="9"/>
                <w:b w:val="1"/>
                <w:bCs w:val="1"/>
                <w:color w:val="auto"/>
              </w:rPr>
              <w:t>Treasury</w:t>
            </w:r>
          </w:p>
        </w:tc>
        <w:tc>
          <w:tcPr>
            <w:tcW w:w="1020" w:type="dxa"/>
            <w:vAlign w:val="bottom"/>
            <w:gridSpan w:val="2"/>
          </w:tcPr>
          <w:p>
            <w:pPr>
              <w:jc w:val="right"/>
              <w:ind w:right="297"/>
              <w:spacing w:after="0" w:line="94"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180" w:type="dxa"/>
            <w:vAlign w:val="bottom"/>
          </w:tcPr>
          <w:p>
            <w:pPr>
              <w:spacing w:after="0"/>
              <w:rPr>
                <w:sz w:val="8"/>
                <w:szCs w:val="8"/>
                <w:color w:val="auto"/>
              </w:rPr>
            </w:pPr>
          </w:p>
        </w:tc>
        <w:tc>
          <w:tcPr>
            <w:tcW w:w="880" w:type="dxa"/>
            <w:vAlign w:val="bottom"/>
          </w:tcPr>
          <w:p>
            <w:pPr>
              <w:jc w:val="center"/>
              <w:ind w:right="317"/>
              <w:spacing w:after="0" w:line="94" w:lineRule="exact"/>
              <w:rPr>
                <w:sz w:val="20"/>
                <w:szCs w:val="20"/>
                <w:color w:val="auto"/>
              </w:rPr>
            </w:pPr>
            <w:r>
              <w:rPr>
                <w:rFonts w:ascii="Times New Roman" w:cs="Times New Roman" w:eastAsia="Times New Roman" w:hAnsi="Times New Roman"/>
                <w:sz w:val="9"/>
                <w:szCs w:val="9"/>
                <w:b w:val="1"/>
                <w:bCs w:val="1"/>
                <w:color w:val="auto"/>
                <w:w w:val="98"/>
              </w:rPr>
              <w:t>Stockholders’</w:t>
            </w:r>
          </w:p>
        </w:tc>
        <w:tc>
          <w:tcPr>
            <w:tcW w:w="100" w:type="dxa"/>
            <w:vAlign w:val="bottom"/>
          </w:tcPr>
          <w:p>
            <w:pPr>
              <w:spacing w:after="0"/>
              <w:rPr>
                <w:sz w:val="8"/>
                <w:szCs w:val="8"/>
                <w:color w:val="auto"/>
              </w:rPr>
            </w:pPr>
          </w:p>
        </w:tc>
        <w:tc>
          <w:tcPr>
            <w:tcW w:w="860" w:type="dxa"/>
            <w:vAlign w:val="bottom"/>
          </w:tcPr>
          <w:p>
            <w:pPr>
              <w:jc w:val="right"/>
              <w:ind w:right="217"/>
              <w:spacing w:after="0" w:line="94" w:lineRule="exact"/>
              <w:rPr>
                <w:sz w:val="20"/>
                <w:szCs w:val="20"/>
                <w:color w:val="auto"/>
              </w:rPr>
            </w:pPr>
            <w:r>
              <w:rPr>
                <w:rFonts w:ascii="Times New Roman" w:cs="Times New Roman" w:eastAsia="Times New Roman" w:hAnsi="Times New Roman"/>
                <w:sz w:val="9"/>
                <w:szCs w:val="9"/>
                <w:b w:val="1"/>
                <w:bCs w:val="1"/>
                <w:color w:val="auto"/>
                <w:w w:val="99"/>
              </w:rPr>
              <w:t>Noncontrolling</w:t>
            </w:r>
          </w:p>
        </w:tc>
        <w:tc>
          <w:tcPr>
            <w:tcW w:w="100" w:type="dxa"/>
            <w:vAlign w:val="bottom"/>
          </w:tcPr>
          <w:p>
            <w:pPr>
              <w:spacing w:after="0"/>
              <w:rPr>
                <w:sz w:val="8"/>
                <w:szCs w:val="8"/>
                <w:color w:val="auto"/>
              </w:rPr>
            </w:pPr>
          </w:p>
        </w:tc>
        <w:tc>
          <w:tcPr>
            <w:tcW w:w="720" w:type="dxa"/>
            <w:vAlign w:val="bottom"/>
            <w:gridSpan w:val="2"/>
          </w:tcPr>
          <w:p>
            <w:pPr>
              <w:jc w:val="center"/>
              <w:ind w:right="160"/>
              <w:spacing w:after="0" w:line="94" w:lineRule="exact"/>
              <w:rPr>
                <w:sz w:val="20"/>
                <w:szCs w:val="20"/>
                <w:color w:val="auto"/>
              </w:rPr>
            </w:pPr>
            <w:r>
              <w:rPr>
                <w:rFonts w:ascii="Times New Roman" w:cs="Times New Roman" w:eastAsia="Times New Roman" w:hAnsi="Times New Roman"/>
                <w:sz w:val="9"/>
                <w:szCs w:val="9"/>
                <w:b w:val="1"/>
                <w:bCs w:val="1"/>
                <w:color w:val="auto"/>
                <w:w w:val="98"/>
              </w:rPr>
              <w:t>Stockholders’</w:t>
            </w:r>
          </w:p>
        </w:tc>
      </w:tr>
      <w:tr>
        <w:trPr>
          <w:trHeight w:val="106"/>
        </w:trPr>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9"/>
                <w:szCs w:val="9"/>
                <w:i w:val="1"/>
                <w:iCs w:val="1"/>
                <w:color w:val="auto"/>
              </w:rPr>
              <w:t>(Dollars in thousands, except shares)</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2"/>
              </w:rPr>
              <w:t>Shares</w:t>
            </w:r>
          </w:p>
        </w:tc>
        <w:tc>
          <w:tcPr>
            <w:tcW w:w="4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9"/>
                <w:szCs w:val="9"/>
                <w:b w:val="1"/>
                <w:bCs w:val="1"/>
                <w:color w:val="auto"/>
              </w:rPr>
              <w:t>Value</w:t>
            </w:r>
          </w:p>
        </w:tc>
        <w:tc>
          <w:tcPr>
            <w:tcW w:w="520" w:type="dxa"/>
            <w:vAlign w:val="bottom"/>
          </w:tcPr>
          <w:p>
            <w:pPr>
              <w:jc w:val="center"/>
              <w:ind w:left="198"/>
              <w:spacing w:after="0"/>
              <w:rPr>
                <w:sz w:val="20"/>
                <w:szCs w:val="20"/>
                <w:color w:val="auto"/>
              </w:rPr>
            </w:pPr>
            <w:r>
              <w:rPr>
                <w:rFonts w:ascii="Times New Roman" w:cs="Times New Roman" w:eastAsia="Times New Roman" w:hAnsi="Times New Roman"/>
                <w:sz w:val="9"/>
                <w:szCs w:val="9"/>
                <w:b w:val="1"/>
                <w:bCs w:val="1"/>
                <w:color w:val="auto"/>
                <w:w w:val="92"/>
              </w:rPr>
              <w:t>Shares</w:t>
            </w:r>
          </w:p>
        </w:tc>
        <w:tc>
          <w:tcPr>
            <w:tcW w:w="2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gridSpan w:val="2"/>
          </w:tcPr>
          <w:p>
            <w:pPr>
              <w:jc w:val="right"/>
              <w:ind w:right="117"/>
              <w:spacing w:after="0"/>
              <w:rPr>
                <w:sz w:val="20"/>
                <w:szCs w:val="20"/>
                <w:color w:val="auto"/>
              </w:rPr>
            </w:pPr>
            <w:r>
              <w:rPr>
                <w:rFonts w:ascii="Times New Roman" w:cs="Times New Roman" w:eastAsia="Times New Roman" w:hAnsi="Times New Roman"/>
                <w:sz w:val="9"/>
                <w:szCs w:val="9"/>
                <w:b w:val="1"/>
                <w:bCs w:val="1"/>
                <w:color w:val="auto"/>
              </w:rPr>
              <w:t>Value</w:t>
            </w:r>
          </w:p>
        </w:tc>
        <w:tc>
          <w:tcPr>
            <w:tcW w:w="140" w:type="dxa"/>
            <w:vAlign w:val="bottom"/>
          </w:tcPr>
          <w:p>
            <w:pPr>
              <w:spacing w:after="0"/>
              <w:rPr>
                <w:sz w:val="9"/>
                <w:szCs w:val="9"/>
                <w:color w:val="auto"/>
              </w:rPr>
            </w:pPr>
          </w:p>
        </w:tc>
        <w:tc>
          <w:tcPr>
            <w:tcW w:w="640" w:type="dxa"/>
            <w:vAlign w:val="bottom"/>
          </w:tcPr>
          <w:p>
            <w:pPr>
              <w:jc w:val="center"/>
              <w:ind w:right="117"/>
              <w:spacing w:after="0"/>
              <w:rPr>
                <w:sz w:val="20"/>
                <w:szCs w:val="20"/>
                <w:color w:val="auto"/>
              </w:rPr>
            </w:pPr>
            <w:r>
              <w:rPr>
                <w:rFonts w:ascii="Times New Roman" w:cs="Times New Roman" w:eastAsia="Times New Roman" w:hAnsi="Times New Roman"/>
                <w:sz w:val="9"/>
                <w:szCs w:val="9"/>
                <w:b w:val="1"/>
                <w:bCs w:val="1"/>
                <w:color w:val="auto"/>
                <w:w w:val="98"/>
              </w:rPr>
              <w:t>Capital</w:t>
            </w:r>
          </w:p>
        </w:tc>
        <w:tc>
          <w:tcPr>
            <w:tcW w:w="180" w:type="dxa"/>
            <w:vAlign w:val="bottom"/>
          </w:tcPr>
          <w:p>
            <w:pPr>
              <w:spacing w:after="0"/>
              <w:rPr>
                <w:sz w:val="9"/>
                <w:szCs w:val="9"/>
                <w:color w:val="auto"/>
              </w:rPr>
            </w:pPr>
          </w:p>
        </w:tc>
        <w:tc>
          <w:tcPr>
            <w:tcW w:w="680" w:type="dxa"/>
            <w:vAlign w:val="bottom"/>
          </w:tcPr>
          <w:p>
            <w:pPr>
              <w:jc w:val="center"/>
              <w:ind w:right="237"/>
              <w:spacing w:after="0"/>
              <w:rPr>
                <w:sz w:val="20"/>
                <w:szCs w:val="20"/>
                <w:color w:val="auto"/>
              </w:rPr>
            </w:pPr>
            <w:r>
              <w:rPr>
                <w:rFonts w:ascii="Times New Roman" w:cs="Times New Roman" w:eastAsia="Times New Roman" w:hAnsi="Times New Roman"/>
                <w:sz w:val="9"/>
                <w:szCs w:val="9"/>
                <w:b w:val="1"/>
                <w:bCs w:val="1"/>
                <w:color w:val="auto"/>
                <w:w w:val="98"/>
              </w:rPr>
              <w:t>Deficit)</w:t>
            </w:r>
          </w:p>
        </w:tc>
        <w:tc>
          <w:tcPr>
            <w:tcW w:w="100" w:type="dxa"/>
            <w:vAlign w:val="bottom"/>
          </w:tcPr>
          <w:p>
            <w:pPr>
              <w:spacing w:after="0"/>
              <w:rPr>
                <w:sz w:val="9"/>
                <w:szCs w:val="9"/>
                <w:color w:val="auto"/>
              </w:rPr>
            </w:pPr>
          </w:p>
        </w:tc>
        <w:tc>
          <w:tcPr>
            <w:tcW w:w="640" w:type="dxa"/>
            <w:vAlign w:val="bottom"/>
          </w:tcPr>
          <w:p>
            <w:pPr>
              <w:jc w:val="right"/>
              <w:ind w:right="257"/>
              <w:spacing w:after="0"/>
              <w:rPr>
                <w:sz w:val="20"/>
                <w:szCs w:val="20"/>
                <w:color w:val="auto"/>
              </w:rPr>
            </w:pPr>
            <w:r>
              <w:rPr>
                <w:rFonts w:ascii="Times New Roman" w:cs="Times New Roman" w:eastAsia="Times New Roman" w:hAnsi="Times New Roman"/>
                <w:sz w:val="9"/>
                <w:szCs w:val="9"/>
                <w:b w:val="1"/>
                <w:bCs w:val="1"/>
                <w:color w:val="auto"/>
              </w:rPr>
              <w:t>Shares</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9"/>
                <w:szCs w:val="9"/>
                <w:b w:val="1"/>
                <w:bCs w:val="1"/>
                <w:color w:val="auto"/>
              </w:rPr>
              <w:t>Income (Loss)</w:t>
            </w:r>
          </w:p>
        </w:tc>
        <w:tc>
          <w:tcPr>
            <w:tcW w:w="180" w:type="dxa"/>
            <w:vAlign w:val="bottom"/>
          </w:tcPr>
          <w:p>
            <w:pPr>
              <w:spacing w:after="0"/>
              <w:rPr>
                <w:sz w:val="9"/>
                <w:szCs w:val="9"/>
                <w:color w:val="auto"/>
              </w:rPr>
            </w:pPr>
          </w:p>
        </w:tc>
        <w:tc>
          <w:tcPr>
            <w:tcW w:w="880" w:type="dxa"/>
            <w:vAlign w:val="bottom"/>
          </w:tcPr>
          <w:p>
            <w:pPr>
              <w:jc w:val="center"/>
              <w:ind w:right="317"/>
              <w:spacing w:after="0"/>
              <w:rPr>
                <w:sz w:val="20"/>
                <w:szCs w:val="20"/>
                <w:color w:val="auto"/>
              </w:rPr>
            </w:pPr>
            <w:r>
              <w:rPr>
                <w:rFonts w:ascii="Times New Roman" w:cs="Times New Roman" w:eastAsia="Times New Roman" w:hAnsi="Times New Roman"/>
                <w:sz w:val="9"/>
                <w:szCs w:val="9"/>
                <w:b w:val="1"/>
                <w:bCs w:val="1"/>
                <w:color w:val="auto"/>
                <w:w w:val="92"/>
              </w:rPr>
              <w:t>Equity</w:t>
            </w:r>
          </w:p>
        </w:tc>
        <w:tc>
          <w:tcPr>
            <w:tcW w:w="100" w:type="dxa"/>
            <w:vAlign w:val="bottom"/>
          </w:tcPr>
          <w:p>
            <w:pPr>
              <w:spacing w:after="0"/>
              <w:rPr>
                <w:sz w:val="9"/>
                <w:szCs w:val="9"/>
                <w:color w:val="auto"/>
              </w:rPr>
            </w:pPr>
          </w:p>
        </w:tc>
        <w:tc>
          <w:tcPr>
            <w:tcW w:w="860" w:type="dxa"/>
            <w:vAlign w:val="bottom"/>
          </w:tcPr>
          <w:p>
            <w:pPr>
              <w:jc w:val="right"/>
              <w:ind w:right="317"/>
              <w:spacing w:after="0"/>
              <w:rPr>
                <w:sz w:val="20"/>
                <w:szCs w:val="20"/>
                <w:color w:val="auto"/>
              </w:rPr>
            </w:pPr>
            <w:r>
              <w:rPr>
                <w:rFonts w:ascii="Times New Roman" w:cs="Times New Roman" w:eastAsia="Times New Roman" w:hAnsi="Times New Roman"/>
                <w:sz w:val="9"/>
                <w:szCs w:val="9"/>
                <w:b w:val="1"/>
                <w:bCs w:val="1"/>
                <w:color w:val="auto"/>
              </w:rPr>
              <w:t>Interests</w:t>
            </w:r>
          </w:p>
        </w:tc>
        <w:tc>
          <w:tcPr>
            <w:tcW w:w="100" w:type="dxa"/>
            <w:vAlign w:val="bottom"/>
          </w:tcPr>
          <w:p>
            <w:pPr>
              <w:spacing w:after="0"/>
              <w:rPr>
                <w:sz w:val="9"/>
                <w:szCs w:val="9"/>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9"/>
              </w:rPr>
              <w:t>Equity</w:t>
            </w:r>
          </w:p>
        </w:tc>
      </w:tr>
      <w:tr>
        <w:trPr>
          <w:trHeight w:val="82"/>
        </w:trPr>
        <w:tc>
          <w:tcPr>
            <w:tcW w:w="2560" w:type="dxa"/>
            <w:vAlign w:val="bottom"/>
            <w:tcBorders>
              <w:top w:val="single" w:sz="8" w:color="auto"/>
              <w:bottom w:val="single" w:sz="8" w:color="auto"/>
              <w:right w:val="single" w:sz="8" w:color="auto"/>
            </w:tcBorders>
            <w:shd w:val="clear" w:color="auto" w:fill="CCEEFF"/>
          </w:tcPr>
          <w:p>
            <w:pPr>
              <w:spacing w:after="0" w:line="83" w:lineRule="exact"/>
              <w:rPr>
                <w:sz w:val="20"/>
                <w:szCs w:val="20"/>
                <w:color w:val="auto"/>
              </w:rPr>
            </w:pPr>
            <w:r>
              <w:rPr>
                <w:rFonts w:ascii="Times New Roman" w:cs="Times New Roman" w:eastAsia="Times New Roman" w:hAnsi="Times New Roman"/>
                <w:sz w:val="9"/>
                <w:szCs w:val="9"/>
                <w:color w:val="auto"/>
              </w:rPr>
              <w:t>At January 1, 2025</w:t>
            </w:r>
          </w:p>
        </w:tc>
        <w:tc>
          <w:tcPr>
            <w:tcW w:w="760" w:type="dxa"/>
            <w:vAlign w:val="bottom"/>
            <w:tcBorders>
              <w:top w:val="single" w:sz="8" w:color="auto"/>
              <w:bottom w:val="single" w:sz="8" w:color="auto"/>
              <w:right w:val="single" w:sz="8" w:color="CCEEFF"/>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20,743</w:t>
            </w:r>
          </w:p>
        </w:tc>
        <w:tc>
          <w:tcPr>
            <w:tcW w:w="180" w:type="dxa"/>
            <w:vAlign w:val="bottom"/>
            <w:tcBorders>
              <w:top w:val="single" w:sz="8" w:color="auto"/>
              <w:bottom w:val="single" w:sz="8" w:color="auto"/>
            </w:tcBorders>
            <w:shd w:val="clear" w:color="auto" w:fill="CCEEFF"/>
          </w:tcPr>
          <w:p>
            <w:pPr>
              <w:ind w:left="120"/>
              <w:spacing w:after="0" w:line="83" w:lineRule="exact"/>
              <w:rPr>
                <w:sz w:val="20"/>
                <w:szCs w:val="20"/>
                <w:color w:val="auto"/>
              </w:rPr>
            </w:pPr>
            <w:r>
              <w:rPr>
                <w:rFonts w:ascii="Times New Roman" w:cs="Times New Roman" w:eastAsia="Times New Roman" w:hAnsi="Times New Roman"/>
                <w:sz w:val="9"/>
                <w:szCs w:val="9"/>
                <w:color w:val="auto"/>
                <w:w w:val="87"/>
              </w:rPr>
              <w:t>$</w:t>
            </w:r>
          </w:p>
        </w:tc>
        <w:tc>
          <w:tcPr>
            <w:tcW w:w="300" w:type="dxa"/>
            <w:vAlign w:val="bottom"/>
            <w:tcBorders>
              <w:top w:val="single" w:sz="8" w:color="auto"/>
              <w:bottom w:val="single" w:sz="8" w:color="auto"/>
              <w:right w:val="single" w:sz="8" w:color="auto"/>
            </w:tcBorders>
            <w:shd w:val="clear" w:color="auto" w:fill="CCEEFF"/>
          </w:tcPr>
          <w:p>
            <w:pPr>
              <w:jc w:val="right"/>
              <w:ind w:right="37"/>
              <w:spacing w:after="0" w:line="83" w:lineRule="exact"/>
              <w:rPr>
                <w:sz w:val="20"/>
                <w:szCs w:val="20"/>
                <w:color w:val="auto"/>
              </w:rPr>
            </w:pPr>
            <w:r>
              <w:rPr>
                <w:rFonts w:ascii="Times New Roman" w:cs="Times New Roman" w:eastAsia="Times New Roman" w:hAnsi="Times New Roman"/>
                <w:sz w:val="9"/>
                <w:szCs w:val="9"/>
                <w:color w:val="auto"/>
              </w:rPr>
              <w:t>238</w:t>
            </w:r>
          </w:p>
        </w:tc>
        <w:tc>
          <w:tcPr>
            <w:tcW w:w="520" w:type="dxa"/>
            <w:vAlign w:val="bottom"/>
            <w:tcBorders>
              <w:top w:val="single" w:sz="8" w:color="auto"/>
              <w:bottom w:val="single" w:sz="8" w:color="auto"/>
            </w:tcBorders>
            <w:shd w:val="clear" w:color="auto" w:fill="CCEEFF"/>
          </w:tcPr>
          <w:p>
            <w:pPr>
              <w:spacing w:after="0"/>
              <w:rPr>
                <w:sz w:val="7"/>
                <w:szCs w:val="7"/>
                <w:color w:val="auto"/>
              </w:rPr>
            </w:pPr>
          </w:p>
        </w:tc>
        <w:tc>
          <w:tcPr>
            <w:tcW w:w="240" w:type="dxa"/>
            <w:vAlign w:val="bottom"/>
            <w:tcBorders>
              <w:top w:val="single" w:sz="8" w:color="auto"/>
              <w:bottom w:val="single" w:sz="8" w:color="auto"/>
              <w:right w:val="single" w:sz="8" w:color="CCEEFF"/>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w w:val="98"/>
              </w:rPr>
              <w:t>1,681</w:t>
            </w:r>
          </w:p>
        </w:tc>
        <w:tc>
          <w:tcPr>
            <w:tcW w:w="16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360" w:type="dxa"/>
            <w:vAlign w:val="bottom"/>
            <w:tcBorders>
              <w:top w:val="single" w:sz="8" w:color="auto"/>
              <w:bottom w:val="single" w:sz="8" w:color="auto"/>
              <w:right w:val="single" w:sz="8" w:color="auto"/>
            </w:tcBorders>
            <w:shd w:val="clear" w:color="auto" w:fill="CCEEFF"/>
          </w:tcPr>
          <w:p>
            <w:pPr>
              <w:jc w:val="right"/>
              <w:ind w:right="37"/>
              <w:spacing w:after="0" w:line="83" w:lineRule="exact"/>
              <w:rPr>
                <w:sz w:val="20"/>
                <w:szCs w:val="20"/>
                <w:color w:val="auto"/>
              </w:rPr>
            </w:pPr>
            <w:r>
              <w:rPr>
                <w:rFonts w:ascii="Times New Roman" w:cs="Times New Roman" w:eastAsia="Times New Roman" w:hAnsi="Times New Roman"/>
                <w:sz w:val="9"/>
                <w:szCs w:val="9"/>
                <w:color w:val="auto"/>
              </w:rPr>
              <w:t>17</w:t>
            </w:r>
          </w:p>
        </w:tc>
        <w:tc>
          <w:tcPr>
            <w:tcW w:w="14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Borders>
              <w:top w:val="single" w:sz="8" w:color="auto"/>
              <w:bottom w:val="single" w:sz="8" w:color="auto"/>
            </w:tcBorders>
            <w:shd w:val="clear" w:color="auto" w:fill="CCEEFF"/>
          </w:tcPr>
          <w:p>
            <w:pPr>
              <w:jc w:val="right"/>
              <w:ind w:right="57"/>
              <w:spacing w:after="0" w:line="83" w:lineRule="exact"/>
              <w:rPr>
                <w:sz w:val="20"/>
                <w:szCs w:val="20"/>
                <w:color w:val="auto"/>
              </w:rPr>
            </w:pPr>
            <w:r>
              <w:rPr>
                <w:rFonts w:ascii="Times New Roman" w:cs="Times New Roman" w:eastAsia="Times New Roman" w:hAnsi="Times New Roman"/>
                <w:sz w:val="9"/>
                <w:szCs w:val="9"/>
                <w:color w:val="auto"/>
              </w:rPr>
              <w:t>157,751</w:t>
            </w:r>
          </w:p>
        </w:tc>
        <w:tc>
          <w:tcPr>
            <w:tcW w:w="18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68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(114,790)</w:t>
            </w:r>
          </w:p>
        </w:tc>
        <w:tc>
          <w:tcPr>
            <w:tcW w:w="10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Borders>
              <w:top w:val="single" w:sz="8" w:color="auto"/>
              <w:bottom w:val="single" w:sz="8" w:color="auto"/>
            </w:tcBorders>
            <w:shd w:val="clear" w:color="auto" w:fill="CCEEFF"/>
          </w:tcPr>
          <w:p>
            <w:pPr>
              <w:jc w:val="right"/>
              <w:ind w:right="57"/>
              <w:spacing w:after="0" w:line="83" w:lineRule="exact"/>
              <w:rPr>
                <w:sz w:val="20"/>
                <w:szCs w:val="20"/>
                <w:color w:val="auto"/>
              </w:rPr>
            </w:pPr>
            <w:r>
              <w:rPr>
                <w:rFonts w:ascii="Times New Roman" w:cs="Times New Roman" w:eastAsia="Times New Roman" w:hAnsi="Times New Roman"/>
                <w:sz w:val="9"/>
                <w:szCs w:val="9"/>
                <w:color w:val="auto"/>
              </w:rPr>
              <w:t>(40,407)</w:t>
            </w:r>
          </w:p>
        </w:tc>
        <w:tc>
          <w:tcPr>
            <w:tcW w:w="640" w:type="dxa"/>
            <w:vAlign w:val="bottom"/>
            <w:tcBorders>
              <w:top w:val="single" w:sz="8" w:color="auto"/>
              <w:bottom w:val="single" w:sz="8" w:color="auto"/>
            </w:tcBorders>
            <w:shd w:val="clear" w:color="auto" w:fill="CCEEFF"/>
          </w:tcPr>
          <w:p>
            <w:pPr>
              <w:ind w:left="120"/>
              <w:spacing w:after="0" w:line="83"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Borders>
              <w:top w:val="single" w:sz="8" w:color="auto"/>
              <w:bottom w:val="single" w:sz="8" w:color="auto"/>
            </w:tcBorders>
            <w:shd w:val="clear" w:color="auto" w:fill="CCEEFF"/>
          </w:tcPr>
          <w:p>
            <w:pPr>
              <w:jc w:val="right"/>
              <w:ind w:right="77"/>
              <w:spacing w:after="0" w:line="83" w:lineRule="exact"/>
              <w:rPr>
                <w:sz w:val="20"/>
                <w:szCs w:val="20"/>
                <w:color w:val="auto"/>
              </w:rPr>
            </w:pPr>
            <w:r>
              <w:rPr>
                <w:rFonts w:ascii="Times New Roman" w:cs="Times New Roman" w:eastAsia="Times New Roman" w:hAnsi="Times New Roman"/>
                <w:sz w:val="9"/>
                <w:szCs w:val="9"/>
                <w:color w:val="auto"/>
                <w:w w:val="91"/>
              </w:rPr>
              <w:t>(7,173)</w:t>
            </w:r>
          </w:p>
        </w:tc>
        <w:tc>
          <w:tcPr>
            <w:tcW w:w="18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tcBorders>
              <w:top w:val="single" w:sz="8" w:color="auto"/>
              <w:bottom w:val="single" w:sz="8" w:color="auto"/>
            </w:tcBorders>
            <w:shd w:val="clear" w:color="auto" w:fill="CCEEFF"/>
          </w:tcPr>
          <w:p>
            <w:pPr>
              <w:jc w:val="right"/>
              <w:ind w:right="17"/>
              <w:spacing w:after="0" w:line="83" w:lineRule="exact"/>
              <w:rPr>
                <w:sz w:val="20"/>
                <w:szCs w:val="20"/>
                <w:color w:val="auto"/>
              </w:rPr>
            </w:pPr>
            <w:r>
              <w:rPr>
                <w:rFonts w:ascii="Times New Roman" w:cs="Times New Roman" w:eastAsia="Times New Roman" w:hAnsi="Times New Roman"/>
                <w:sz w:val="9"/>
                <w:szCs w:val="9"/>
                <w:color w:val="auto"/>
              </w:rPr>
              <w:t>(4,364)</w:t>
            </w:r>
          </w:p>
        </w:tc>
        <w:tc>
          <w:tcPr>
            <w:tcW w:w="10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86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(426)</w:t>
            </w:r>
          </w:p>
        </w:tc>
        <w:tc>
          <w:tcPr>
            <w:tcW w:w="10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70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(4,790)</w:t>
            </w:r>
          </w:p>
        </w:tc>
        <w:tc>
          <w:tcPr>
            <w:tcW w:w="20" w:type="dxa"/>
            <w:vAlign w:val="bottom"/>
          </w:tcPr>
          <w:p>
            <w:pPr>
              <w:spacing w:after="0"/>
              <w:rPr>
                <w:sz w:val="7"/>
                <w:szCs w:val="7"/>
                <w:color w:val="auto"/>
              </w:rPr>
            </w:pPr>
          </w:p>
        </w:tc>
      </w:tr>
      <w:tr>
        <w:trPr>
          <w:trHeight w:val="92"/>
        </w:trPr>
        <w:tc>
          <w:tcPr>
            <w:tcW w:w="2560" w:type="dxa"/>
            <w:vAlign w:val="bottom"/>
            <w:tcBorders>
              <w:right w:val="single" w:sz="8" w:color="auto"/>
            </w:tcBorders>
          </w:tcPr>
          <w:p>
            <w:pPr>
              <w:spacing w:after="0" w:line="92" w:lineRule="exact"/>
              <w:rPr>
                <w:sz w:val="20"/>
                <w:szCs w:val="20"/>
                <w:color w:val="auto"/>
              </w:rPr>
            </w:pPr>
            <w:r>
              <w:rPr>
                <w:rFonts w:ascii="Times New Roman" w:cs="Times New Roman" w:eastAsia="Times New Roman" w:hAnsi="Times New Roman"/>
                <w:sz w:val="9"/>
                <w:szCs w:val="9"/>
                <w:color w:val="auto"/>
              </w:rPr>
              <w:t>Net income (loss)</w:t>
            </w:r>
          </w:p>
        </w:tc>
        <w:tc>
          <w:tcPr>
            <w:tcW w:w="760" w:type="dxa"/>
            <w:vAlign w:val="bottom"/>
          </w:tcPr>
          <w:p>
            <w:pPr>
              <w:jc w:val="right"/>
              <w:spacing w:after="0" w:line="92"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7"/>
                <w:szCs w:val="7"/>
                <w:color w:val="auto"/>
              </w:rPr>
            </w:pPr>
          </w:p>
        </w:tc>
        <w:tc>
          <w:tcPr>
            <w:tcW w:w="300" w:type="dxa"/>
            <w:vAlign w:val="bottom"/>
            <w:tcBorders>
              <w:right w:val="single" w:sz="8" w:color="auto"/>
            </w:tcBorders>
          </w:tcPr>
          <w:p>
            <w:pPr>
              <w:jc w:val="right"/>
              <w:ind w:right="37"/>
              <w:spacing w:after="0" w:line="92"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spacing w:after="0"/>
              <w:rPr>
                <w:sz w:val="7"/>
                <w:szCs w:val="7"/>
                <w:color w:val="auto"/>
              </w:rPr>
            </w:pPr>
          </w:p>
        </w:tc>
        <w:tc>
          <w:tcPr>
            <w:tcW w:w="240" w:type="dxa"/>
            <w:vAlign w:val="bottom"/>
          </w:tcPr>
          <w:p>
            <w:pPr>
              <w:jc w:val="right"/>
              <w:spacing w:after="0" w:line="92"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7"/>
                <w:szCs w:val="7"/>
                <w:color w:val="auto"/>
              </w:rPr>
            </w:pPr>
          </w:p>
        </w:tc>
        <w:tc>
          <w:tcPr>
            <w:tcW w:w="360" w:type="dxa"/>
            <w:vAlign w:val="bottom"/>
            <w:tcBorders>
              <w:right w:val="single" w:sz="8" w:color="auto"/>
            </w:tcBorders>
          </w:tcPr>
          <w:p>
            <w:pPr>
              <w:jc w:val="right"/>
              <w:ind w:right="37"/>
              <w:spacing w:after="0" w:line="92"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640" w:type="dxa"/>
            <w:vAlign w:val="bottom"/>
          </w:tcPr>
          <w:p>
            <w:pPr>
              <w:jc w:val="right"/>
              <w:ind w:right="57"/>
              <w:spacing w:after="0" w:line="92"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7"/>
                <w:szCs w:val="7"/>
                <w:color w:val="auto"/>
              </w:rPr>
            </w:pPr>
          </w:p>
        </w:tc>
        <w:tc>
          <w:tcPr>
            <w:tcW w:w="680" w:type="dxa"/>
            <w:vAlign w:val="bottom"/>
          </w:tcPr>
          <w:p>
            <w:pPr>
              <w:jc w:val="right"/>
              <w:spacing w:after="0" w:line="92" w:lineRule="exact"/>
              <w:rPr>
                <w:sz w:val="20"/>
                <w:szCs w:val="20"/>
                <w:color w:val="auto"/>
              </w:rPr>
            </w:pPr>
            <w:r>
              <w:rPr>
                <w:rFonts w:ascii="Times New Roman" w:cs="Times New Roman" w:eastAsia="Times New Roman" w:hAnsi="Times New Roman"/>
                <w:sz w:val="9"/>
                <w:szCs w:val="9"/>
                <w:color w:val="auto"/>
              </w:rPr>
              <w:t>(4,756)</w:t>
            </w:r>
          </w:p>
        </w:tc>
        <w:tc>
          <w:tcPr>
            <w:tcW w:w="100" w:type="dxa"/>
            <w:vAlign w:val="bottom"/>
          </w:tcPr>
          <w:p>
            <w:pPr>
              <w:spacing w:after="0"/>
              <w:rPr>
                <w:sz w:val="7"/>
                <w:szCs w:val="7"/>
                <w:color w:val="auto"/>
              </w:rPr>
            </w:pPr>
          </w:p>
        </w:tc>
        <w:tc>
          <w:tcPr>
            <w:tcW w:w="640" w:type="dxa"/>
            <w:vAlign w:val="bottom"/>
          </w:tcPr>
          <w:p>
            <w:pPr>
              <w:jc w:val="right"/>
              <w:ind w:right="57"/>
              <w:spacing w:after="0" w:line="92"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spacing w:after="0"/>
              <w:rPr>
                <w:sz w:val="7"/>
                <w:szCs w:val="7"/>
                <w:color w:val="auto"/>
              </w:rPr>
            </w:pPr>
          </w:p>
        </w:tc>
        <w:tc>
          <w:tcPr>
            <w:tcW w:w="380" w:type="dxa"/>
            <w:vAlign w:val="bottom"/>
          </w:tcPr>
          <w:p>
            <w:pPr>
              <w:jc w:val="right"/>
              <w:ind w:right="77"/>
              <w:spacing w:after="0" w:line="92"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7"/>
                <w:szCs w:val="7"/>
                <w:color w:val="auto"/>
              </w:rPr>
            </w:pPr>
          </w:p>
        </w:tc>
        <w:tc>
          <w:tcPr>
            <w:tcW w:w="880" w:type="dxa"/>
            <w:vAlign w:val="bottom"/>
          </w:tcPr>
          <w:p>
            <w:pPr>
              <w:jc w:val="right"/>
              <w:ind w:right="17"/>
              <w:spacing w:after="0" w:line="92" w:lineRule="exact"/>
              <w:rPr>
                <w:sz w:val="20"/>
                <w:szCs w:val="20"/>
                <w:color w:val="auto"/>
              </w:rPr>
            </w:pPr>
            <w:r>
              <w:rPr>
                <w:rFonts w:ascii="Times New Roman" w:cs="Times New Roman" w:eastAsia="Times New Roman" w:hAnsi="Times New Roman"/>
                <w:sz w:val="9"/>
                <w:szCs w:val="9"/>
                <w:color w:val="auto"/>
              </w:rPr>
              <w:t>(4,756)</w:t>
            </w:r>
          </w:p>
        </w:tc>
        <w:tc>
          <w:tcPr>
            <w:tcW w:w="100" w:type="dxa"/>
            <w:vAlign w:val="bottom"/>
          </w:tcPr>
          <w:p>
            <w:pPr>
              <w:spacing w:after="0"/>
              <w:rPr>
                <w:sz w:val="7"/>
                <w:szCs w:val="7"/>
                <w:color w:val="auto"/>
              </w:rPr>
            </w:pPr>
          </w:p>
        </w:tc>
        <w:tc>
          <w:tcPr>
            <w:tcW w:w="860" w:type="dxa"/>
            <w:vAlign w:val="bottom"/>
          </w:tcPr>
          <w:p>
            <w:pPr>
              <w:jc w:val="right"/>
              <w:spacing w:after="0" w:line="92" w:lineRule="exact"/>
              <w:rPr>
                <w:sz w:val="20"/>
                <w:szCs w:val="20"/>
                <w:color w:val="auto"/>
              </w:rPr>
            </w:pPr>
            <w:r>
              <w:rPr>
                <w:rFonts w:ascii="Times New Roman" w:cs="Times New Roman" w:eastAsia="Times New Roman" w:hAnsi="Times New Roman"/>
                <w:sz w:val="9"/>
                <w:szCs w:val="9"/>
                <w:color w:val="auto"/>
              </w:rPr>
              <w:t>(191)</w:t>
            </w:r>
          </w:p>
        </w:tc>
        <w:tc>
          <w:tcPr>
            <w:tcW w:w="100" w:type="dxa"/>
            <w:vAlign w:val="bottom"/>
          </w:tcPr>
          <w:p>
            <w:pPr>
              <w:spacing w:after="0"/>
              <w:rPr>
                <w:sz w:val="7"/>
                <w:szCs w:val="7"/>
                <w:color w:val="auto"/>
              </w:rPr>
            </w:pPr>
          </w:p>
        </w:tc>
        <w:tc>
          <w:tcPr>
            <w:tcW w:w="700" w:type="dxa"/>
            <w:vAlign w:val="bottom"/>
          </w:tcPr>
          <w:p>
            <w:pPr>
              <w:jc w:val="right"/>
              <w:spacing w:after="0" w:line="92" w:lineRule="exact"/>
              <w:rPr>
                <w:sz w:val="20"/>
                <w:szCs w:val="20"/>
                <w:color w:val="auto"/>
              </w:rPr>
            </w:pPr>
            <w:r>
              <w:rPr>
                <w:rFonts w:ascii="Times New Roman" w:cs="Times New Roman" w:eastAsia="Times New Roman" w:hAnsi="Times New Roman"/>
                <w:sz w:val="9"/>
                <w:szCs w:val="9"/>
                <w:color w:val="auto"/>
              </w:rPr>
              <w:t>(4,947)</w:t>
            </w:r>
          </w:p>
        </w:tc>
        <w:tc>
          <w:tcPr>
            <w:tcW w:w="20" w:type="dxa"/>
            <w:vAlign w:val="bottom"/>
          </w:tcPr>
          <w:p>
            <w:pPr>
              <w:spacing w:after="0"/>
              <w:rPr>
                <w:sz w:val="7"/>
                <w:szCs w:val="7"/>
                <w:color w:val="auto"/>
              </w:rPr>
            </w:pPr>
          </w:p>
        </w:tc>
      </w:tr>
      <w:tr>
        <w:trPr>
          <w:trHeight w:val="93"/>
        </w:trPr>
        <w:tc>
          <w:tcPr>
            <w:tcW w:w="2560" w:type="dxa"/>
            <w:vAlign w:val="bottom"/>
            <w:tcBorders>
              <w:right w:val="single" w:sz="8" w:color="auto"/>
            </w:tcBorders>
            <w:shd w:val="clear" w:color="auto" w:fill="CCEEFF"/>
          </w:tcPr>
          <w:p>
            <w:pPr>
              <w:spacing w:after="0" w:line="94" w:lineRule="exact"/>
              <w:rPr>
                <w:sz w:val="20"/>
                <w:szCs w:val="20"/>
                <w:color w:val="auto"/>
              </w:rPr>
            </w:pPr>
            <w:r>
              <w:rPr>
                <w:rFonts w:ascii="Times New Roman" w:cs="Times New Roman" w:eastAsia="Times New Roman" w:hAnsi="Times New Roman"/>
                <w:sz w:val="9"/>
                <w:szCs w:val="9"/>
                <w:color w:val="auto"/>
              </w:rPr>
              <w:t>Other comprehensive income, net</w:t>
            </w:r>
          </w:p>
        </w:tc>
        <w:tc>
          <w:tcPr>
            <w:tcW w:w="760" w:type="dxa"/>
            <w:vAlign w:val="bottom"/>
            <w:tcBorders>
              <w:right w:val="single" w:sz="8" w:color="CCEEFF"/>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300" w:type="dxa"/>
            <w:vAlign w:val="bottom"/>
            <w:tcBorders>
              <w:right w:val="single" w:sz="8" w:color="auto"/>
            </w:tcBorders>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8"/>
                <w:szCs w:val="8"/>
                <w:color w:val="auto"/>
              </w:rPr>
            </w:pPr>
          </w:p>
        </w:tc>
        <w:tc>
          <w:tcPr>
            <w:tcW w:w="360" w:type="dxa"/>
            <w:vAlign w:val="bottom"/>
            <w:tcBorders>
              <w:right w:val="single" w:sz="8" w:color="auto"/>
            </w:tcBorders>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shd w:val="clear" w:color="auto" w:fill="CCEEFF"/>
          </w:tcPr>
          <w:p>
            <w:pPr>
              <w:spacing w:after="0"/>
              <w:rPr>
                <w:sz w:val="8"/>
                <w:szCs w:val="8"/>
                <w:color w:val="auto"/>
              </w:rPr>
            </w:pPr>
          </w:p>
        </w:tc>
        <w:tc>
          <w:tcPr>
            <w:tcW w:w="380" w:type="dxa"/>
            <w:vAlign w:val="bottom"/>
            <w:shd w:val="clear" w:color="auto" w:fill="CCEEFF"/>
          </w:tcPr>
          <w:p>
            <w:pPr>
              <w:jc w:val="right"/>
              <w:ind w:right="77"/>
              <w:spacing w:after="0" w:line="94" w:lineRule="exact"/>
              <w:rPr>
                <w:sz w:val="20"/>
                <w:szCs w:val="20"/>
                <w:color w:val="auto"/>
              </w:rPr>
            </w:pPr>
            <w:r>
              <w:rPr>
                <w:rFonts w:ascii="Times New Roman" w:cs="Times New Roman" w:eastAsia="Times New Roman" w:hAnsi="Times New Roman"/>
                <w:sz w:val="9"/>
                <w:szCs w:val="9"/>
                <w:color w:val="auto"/>
              </w:rPr>
              <w:t>452</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ind w:right="17"/>
              <w:spacing w:after="0" w:line="94" w:lineRule="exact"/>
              <w:rPr>
                <w:sz w:val="20"/>
                <w:szCs w:val="20"/>
                <w:color w:val="auto"/>
              </w:rPr>
            </w:pPr>
            <w:r>
              <w:rPr>
                <w:rFonts w:ascii="Times New Roman" w:cs="Times New Roman" w:eastAsia="Times New Roman" w:hAnsi="Times New Roman"/>
                <w:sz w:val="9"/>
                <w:szCs w:val="9"/>
                <w:color w:val="auto"/>
              </w:rPr>
              <w:t>452</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1</w:t>
            </w: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453</w:t>
            </w:r>
          </w:p>
        </w:tc>
      </w:tr>
      <w:tr>
        <w:trPr>
          <w:trHeight w:val="93"/>
        </w:trPr>
        <w:tc>
          <w:tcPr>
            <w:tcW w:w="2560" w:type="dxa"/>
            <w:vAlign w:val="bottom"/>
            <w:tcBorders>
              <w:right w:val="single" w:sz="8" w:color="auto"/>
            </w:tcBorders>
          </w:tcPr>
          <w:p>
            <w:pPr>
              <w:spacing w:after="0" w:line="94" w:lineRule="exact"/>
              <w:rPr>
                <w:sz w:val="20"/>
                <w:szCs w:val="20"/>
                <w:color w:val="auto"/>
              </w:rPr>
            </w:pPr>
            <w:r>
              <w:rPr>
                <w:rFonts w:ascii="Times New Roman" w:cs="Times New Roman" w:eastAsia="Times New Roman" w:hAnsi="Times New Roman"/>
                <w:sz w:val="9"/>
                <w:szCs w:val="9"/>
                <w:color w:val="auto"/>
              </w:rPr>
              <w:t>Share-based compensation expense</w:t>
            </w:r>
          </w:p>
        </w:tc>
        <w:tc>
          <w:tcPr>
            <w:tcW w:w="76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300" w:type="dxa"/>
            <w:vAlign w:val="bottom"/>
            <w:tcBorders>
              <w:right w:val="single" w:sz="8" w:color="auto"/>
            </w:tcBorders>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spacing w:after="0"/>
              <w:rPr>
                <w:sz w:val="8"/>
                <w:szCs w:val="8"/>
                <w:color w:val="auto"/>
              </w:rPr>
            </w:pPr>
          </w:p>
        </w:tc>
        <w:tc>
          <w:tcPr>
            <w:tcW w:w="24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360" w:type="dxa"/>
            <w:vAlign w:val="bottom"/>
            <w:tcBorders>
              <w:right w:val="single" w:sz="8" w:color="auto"/>
            </w:tcBorders>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6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600</w:t>
            </w:r>
          </w:p>
        </w:tc>
        <w:tc>
          <w:tcPr>
            <w:tcW w:w="180" w:type="dxa"/>
            <w:vAlign w:val="bottom"/>
          </w:tcPr>
          <w:p>
            <w:pPr>
              <w:spacing w:after="0"/>
              <w:rPr>
                <w:sz w:val="8"/>
                <w:szCs w:val="8"/>
                <w:color w:val="auto"/>
              </w:rPr>
            </w:pP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spacing w:after="0"/>
              <w:rPr>
                <w:sz w:val="8"/>
                <w:szCs w:val="8"/>
                <w:color w:val="auto"/>
              </w:rPr>
            </w:pPr>
          </w:p>
        </w:tc>
        <w:tc>
          <w:tcPr>
            <w:tcW w:w="380" w:type="dxa"/>
            <w:vAlign w:val="bottom"/>
          </w:tcPr>
          <w:p>
            <w:pPr>
              <w:jc w:val="right"/>
              <w:ind w:right="77"/>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880" w:type="dxa"/>
            <w:vAlign w:val="bottom"/>
          </w:tcPr>
          <w:p>
            <w:pPr>
              <w:jc w:val="right"/>
              <w:ind w:right="17"/>
              <w:spacing w:after="0" w:line="94" w:lineRule="exact"/>
              <w:rPr>
                <w:sz w:val="20"/>
                <w:szCs w:val="20"/>
                <w:color w:val="auto"/>
              </w:rPr>
            </w:pPr>
            <w:r>
              <w:rPr>
                <w:rFonts w:ascii="Times New Roman" w:cs="Times New Roman" w:eastAsia="Times New Roman" w:hAnsi="Times New Roman"/>
                <w:sz w:val="9"/>
                <w:szCs w:val="9"/>
                <w:color w:val="auto"/>
              </w:rPr>
              <w:t>600</w:t>
            </w:r>
          </w:p>
        </w:tc>
        <w:tc>
          <w:tcPr>
            <w:tcW w:w="100" w:type="dxa"/>
            <w:vAlign w:val="bottom"/>
          </w:tcPr>
          <w:p>
            <w:pPr>
              <w:spacing w:after="0"/>
              <w:rPr>
                <w:sz w:val="8"/>
                <w:szCs w:val="8"/>
                <w:color w:val="auto"/>
              </w:rPr>
            </w:pPr>
          </w:p>
        </w:tc>
        <w:tc>
          <w:tcPr>
            <w:tcW w:w="86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72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600</w:t>
            </w:r>
          </w:p>
        </w:tc>
      </w:tr>
      <w:tr>
        <w:trPr>
          <w:trHeight w:val="82"/>
        </w:trPr>
        <w:tc>
          <w:tcPr>
            <w:tcW w:w="2560" w:type="dxa"/>
            <w:vAlign w:val="bottom"/>
            <w:tcBorders>
              <w:top w:val="single" w:sz="8" w:color="auto"/>
              <w:bottom w:val="single" w:sz="8" w:color="auto"/>
              <w:right w:val="single" w:sz="8" w:color="auto"/>
            </w:tcBorders>
            <w:shd w:val="clear" w:color="auto" w:fill="CCEEFF"/>
          </w:tcPr>
          <w:p>
            <w:pPr>
              <w:spacing w:after="0" w:line="83" w:lineRule="exact"/>
              <w:rPr>
                <w:sz w:val="20"/>
                <w:szCs w:val="20"/>
                <w:color w:val="auto"/>
              </w:rPr>
            </w:pPr>
            <w:r>
              <w:rPr>
                <w:rFonts w:ascii="Times New Roman" w:cs="Times New Roman" w:eastAsia="Times New Roman" w:hAnsi="Times New Roman"/>
                <w:sz w:val="9"/>
                <w:szCs w:val="9"/>
                <w:color w:val="auto"/>
              </w:rPr>
              <w:t>At March 31, 2025</w:t>
            </w:r>
          </w:p>
        </w:tc>
        <w:tc>
          <w:tcPr>
            <w:tcW w:w="760" w:type="dxa"/>
            <w:vAlign w:val="bottom"/>
            <w:tcBorders>
              <w:top w:val="single" w:sz="8" w:color="auto"/>
              <w:bottom w:val="single" w:sz="8" w:color="auto"/>
              <w:right w:val="single" w:sz="8" w:color="CCEEFF"/>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20,743</w:t>
            </w:r>
          </w:p>
        </w:tc>
        <w:tc>
          <w:tcPr>
            <w:tcW w:w="180" w:type="dxa"/>
            <w:vAlign w:val="bottom"/>
            <w:tcBorders>
              <w:top w:val="single" w:sz="8" w:color="auto"/>
              <w:bottom w:val="single" w:sz="8" w:color="auto"/>
            </w:tcBorders>
            <w:shd w:val="clear" w:color="auto" w:fill="CCEEFF"/>
          </w:tcPr>
          <w:p>
            <w:pPr>
              <w:ind w:left="120"/>
              <w:spacing w:after="0" w:line="83" w:lineRule="exact"/>
              <w:rPr>
                <w:sz w:val="20"/>
                <w:szCs w:val="20"/>
                <w:color w:val="auto"/>
              </w:rPr>
            </w:pPr>
            <w:r>
              <w:rPr>
                <w:rFonts w:ascii="Times New Roman" w:cs="Times New Roman" w:eastAsia="Times New Roman" w:hAnsi="Times New Roman"/>
                <w:sz w:val="9"/>
                <w:szCs w:val="9"/>
                <w:color w:val="auto"/>
                <w:w w:val="87"/>
              </w:rPr>
              <w:t>$</w:t>
            </w:r>
          </w:p>
        </w:tc>
        <w:tc>
          <w:tcPr>
            <w:tcW w:w="300" w:type="dxa"/>
            <w:vAlign w:val="bottom"/>
            <w:tcBorders>
              <w:top w:val="single" w:sz="8" w:color="auto"/>
              <w:bottom w:val="single" w:sz="8" w:color="auto"/>
              <w:right w:val="single" w:sz="8" w:color="auto"/>
            </w:tcBorders>
            <w:shd w:val="clear" w:color="auto" w:fill="CCEEFF"/>
          </w:tcPr>
          <w:p>
            <w:pPr>
              <w:jc w:val="right"/>
              <w:ind w:right="37"/>
              <w:spacing w:after="0" w:line="83" w:lineRule="exact"/>
              <w:rPr>
                <w:sz w:val="20"/>
                <w:szCs w:val="20"/>
                <w:color w:val="auto"/>
              </w:rPr>
            </w:pPr>
            <w:r>
              <w:rPr>
                <w:rFonts w:ascii="Times New Roman" w:cs="Times New Roman" w:eastAsia="Times New Roman" w:hAnsi="Times New Roman"/>
                <w:sz w:val="9"/>
                <w:szCs w:val="9"/>
                <w:color w:val="auto"/>
              </w:rPr>
              <w:t>238</w:t>
            </w:r>
          </w:p>
        </w:tc>
        <w:tc>
          <w:tcPr>
            <w:tcW w:w="520" w:type="dxa"/>
            <w:vAlign w:val="bottom"/>
            <w:tcBorders>
              <w:top w:val="single" w:sz="8" w:color="auto"/>
              <w:bottom w:val="single" w:sz="8" w:color="auto"/>
            </w:tcBorders>
            <w:shd w:val="clear" w:color="auto" w:fill="CCEEFF"/>
          </w:tcPr>
          <w:p>
            <w:pPr>
              <w:spacing w:after="0"/>
              <w:rPr>
                <w:sz w:val="7"/>
                <w:szCs w:val="7"/>
                <w:color w:val="auto"/>
              </w:rPr>
            </w:pPr>
          </w:p>
        </w:tc>
        <w:tc>
          <w:tcPr>
            <w:tcW w:w="240" w:type="dxa"/>
            <w:vAlign w:val="bottom"/>
            <w:tcBorders>
              <w:top w:val="single" w:sz="8" w:color="auto"/>
              <w:bottom w:val="single" w:sz="8" w:color="auto"/>
              <w:right w:val="single" w:sz="8" w:color="CCEEFF"/>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w w:val="98"/>
              </w:rPr>
              <w:t>1,681</w:t>
            </w:r>
          </w:p>
        </w:tc>
        <w:tc>
          <w:tcPr>
            <w:tcW w:w="16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360" w:type="dxa"/>
            <w:vAlign w:val="bottom"/>
            <w:tcBorders>
              <w:top w:val="single" w:sz="8" w:color="auto"/>
              <w:bottom w:val="single" w:sz="8" w:color="auto"/>
              <w:right w:val="single" w:sz="8" w:color="auto"/>
            </w:tcBorders>
            <w:shd w:val="clear" w:color="auto" w:fill="CCEEFF"/>
          </w:tcPr>
          <w:p>
            <w:pPr>
              <w:jc w:val="right"/>
              <w:ind w:right="37"/>
              <w:spacing w:after="0" w:line="83" w:lineRule="exact"/>
              <w:rPr>
                <w:sz w:val="20"/>
                <w:szCs w:val="20"/>
                <w:color w:val="auto"/>
              </w:rPr>
            </w:pPr>
            <w:r>
              <w:rPr>
                <w:rFonts w:ascii="Times New Roman" w:cs="Times New Roman" w:eastAsia="Times New Roman" w:hAnsi="Times New Roman"/>
                <w:sz w:val="9"/>
                <w:szCs w:val="9"/>
                <w:color w:val="auto"/>
              </w:rPr>
              <w:t>17</w:t>
            </w:r>
          </w:p>
        </w:tc>
        <w:tc>
          <w:tcPr>
            <w:tcW w:w="14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Borders>
              <w:top w:val="single" w:sz="8" w:color="auto"/>
              <w:bottom w:val="single" w:sz="8" w:color="auto"/>
            </w:tcBorders>
            <w:shd w:val="clear" w:color="auto" w:fill="CCEEFF"/>
          </w:tcPr>
          <w:p>
            <w:pPr>
              <w:jc w:val="right"/>
              <w:ind w:right="57"/>
              <w:spacing w:after="0" w:line="83" w:lineRule="exact"/>
              <w:rPr>
                <w:sz w:val="20"/>
                <w:szCs w:val="20"/>
                <w:color w:val="auto"/>
              </w:rPr>
            </w:pPr>
            <w:r>
              <w:rPr>
                <w:rFonts w:ascii="Times New Roman" w:cs="Times New Roman" w:eastAsia="Times New Roman" w:hAnsi="Times New Roman"/>
                <w:sz w:val="9"/>
                <w:szCs w:val="9"/>
                <w:color w:val="auto"/>
              </w:rPr>
              <w:t>158,351</w:t>
            </w:r>
          </w:p>
        </w:tc>
        <w:tc>
          <w:tcPr>
            <w:tcW w:w="18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68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(119,546)</w:t>
            </w:r>
          </w:p>
        </w:tc>
        <w:tc>
          <w:tcPr>
            <w:tcW w:w="10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Borders>
              <w:top w:val="single" w:sz="8" w:color="auto"/>
              <w:bottom w:val="single" w:sz="8" w:color="auto"/>
            </w:tcBorders>
            <w:shd w:val="clear" w:color="auto" w:fill="CCEEFF"/>
          </w:tcPr>
          <w:p>
            <w:pPr>
              <w:jc w:val="right"/>
              <w:ind w:right="57"/>
              <w:spacing w:after="0" w:line="83" w:lineRule="exact"/>
              <w:rPr>
                <w:sz w:val="20"/>
                <w:szCs w:val="20"/>
                <w:color w:val="auto"/>
              </w:rPr>
            </w:pPr>
            <w:r>
              <w:rPr>
                <w:rFonts w:ascii="Times New Roman" w:cs="Times New Roman" w:eastAsia="Times New Roman" w:hAnsi="Times New Roman"/>
                <w:sz w:val="9"/>
                <w:szCs w:val="9"/>
                <w:color w:val="auto"/>
              </w:rPr>
              <w:t>(40,407)</w:t>
            </w:r>
          </w:p>
        </w:tc>
        <w:tc>
          <w:tcPr>
            <w:tcW w:w="640" w:type="dxa"/>
            <w:vAlign w:val="bottom"/>
            <w:tcBorders>
              <w:top w:val="single" w:sz="8" w:color="auto"/>
              <w:bottom w:val="single" w:sz="8" w:color="auto"/>
            </w:tcBorders>
            <w:shd w:val="clear" w:color="auto" w:fill="CCEEFF"/>
          </w:tcPr>
          <w:p>
            <w:pPr>
              <w:ind w:left="120"/>
              <w:spacing w:after="0" w:line="83"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Borders>
              <w:top w:val="single" w:sz="8" w:color="auto"/>
              <w:bottom w:val="single" w:sz="8" w:color="auto"/>
            </w:tcBorders>
            <w:shd w:val="clear" w:color="auto" w:fill="CCEEFF"/>
          </w:tcPr>
          <w:p>
            <w:pPr>
              <w:jc w:val="right"/>
              <w:ind w:right="77"/>
              <w:spacing w:after="0" w:line="83" w:lineRule="exact"/>
              <w:rPr>
                <w:sz w:val="20"/>
                <w:szCs w:val="20"/>
                <w:color w:val="auto"/>
              </w:rPr>
            </w:pPr>
            <w:r>
              <w:rPr>
                <w:rFonts w:ascii="Times New Roman" w:cs="Times New Roman" w:eastAsia="Times New Roman" w:hAnsi="Times New Roman"/>
                <w:sz w:val="9"/>
                <w:szCs w:val="9"/>
                <w:color w:val="auto"/>
                <w:w w:val="91"/>
              </w:rPr>
              <w:t>(6,721)</w:t>
            </w:r>
          </w:p>
        </w:tc>
        <w:tc>
          <w:tcPr>
            <w:tcW w:w="18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tcBorders>
              <w:top w:val="single" w:sz="8" w:color="auto"/>
              <w:bottom w:val="single" w:sz="8" w:color="auto"/>
            </w:tcBorders>
            <w:shd w:val="clear" w:color="auto" w:fill="CCEEFF"/>
          </w:tcPr>
          <w:p>
            <w:pPr>
              <w:jc w:val="right"/>
              <w:ind w:right="17"/>
              <w:spacing w:after="0" w:line="83" w:lineRule="exact"/>
              <w:rPr>
                <w:sz w:val="20"/>
                <w:szCs w:val="20"/>
                <w:color w:val="auto"/>
              </w:rPr>
            </w:pPr>
            <w:r>
              <w:rPr>
                <w:rFonts w:ascii="Times New Roman" w:cs="Times New Roman" w:eastAsia="Times New Roman" w:hAnsi="Times New Roman"/>
                <w:sz w:val="9"/>
                <w:szCs w:val="9"/>
                <w:color w:val="auto"/>
              </w:rPr>
              <w:t>(8,068)</w:t>
            </w:r>
          </w:p>
        </w:tc>
        <w:tc>
          <w:tcPr>
            <w:tcW w:w="10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86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(616)</w:t>
            </w:r>
          </w:p>
        </w:tc>
        <w:tc>
          <w:tcPr>
            <w:tcW w:w="10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70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(8,684)</w:t>
            </w:r>
          </w:p>
        </w:tc>
        <w:tc>
          <w:tcPr>
            <w:tcW w:w="20" w:type="dxa"/>
            <w:vAlign w:val="bottom"/>
          </w:tcPr>
          <w:p>
            <w:pPr>
              <w:spacing w:after="0"/>
              <w:rPr>
                <w:sz w:val="7"/>
                <w:szCs w:val="7"/>
                <w:color w:val="auto"/>
              </w:rPr>
            </w:pPr>
          </w:p>
        </w:tc>
      </w:tr>
      <w:tr>
        <w:trPr>
          <w:trHeight w:val="92"/>
        </w:trPr>
        <w:tc>
          <w:tcPr>
            <w:tcW w:w="2560" w:type="dxa"/>
            <w:vAlign w:val="bottom"/>
            <w:tcBorders>
              <w:right w:val="single" w:sz="8" w:color="auto"/>
            </w:tcBorders>
          </w:tcPr>
          <w:p>
            <w:pPr>
              <w:spacing w:after="0" w:line="92" w:lineRule="exact"/>
              <w:rPr>
                <w:sz w:val="20"/>
                <w:szCs w:val="20"/>
                <w:color w:val="auto"/>
              </w:rPr>
            </w:pPr>
            <w:r>
              <w:rPr>
                <w:rFonts w:ascii="Times New Roman" w:cs="Times New Roman" w:eastAsia="Times New Roman" w:hAnsi="Times New Roman"/>
                <w:sz w:val="9"/>
                <w:szCs w:val="9"/>
                <w:color w:val="auto"/>
              </w:rPr>
              <w:t>Net income</w:t>
            </w:r>
          </w:p>
        </w:tc>
        <w:tc>
          <w:tcPr>
            <w:tcW w:w="760" w:type="dxa"/>
            <w:vAlign w:val="bottom"/>
          </w:tcPr>
          <w:p>
            <w:pPr>
              <w:jc w:val="right"/>
              <w:spacing w:after="0" w:line="92"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7"/>
                <w:szCs w:val="7"/>
                <w:color w:val="auto"/>
              </w:rPr>
            </w:pPr>
          </w:p>
        </w:tc>
        <w:tc>
          <w:tcPr>
            <w:tcW w:w="300" w:type="dxa"/>
            <w:vAlign w:val="bottom"/>
            <w:tcBorders>
              <w:right w:val="single" w:sz="8" w:color="auto"/>
            </w:tcBorders>
          </w:tcPr>
          <w:p>
            <w:pPr>
              <w:jc w:val="right"/>
              <w:ind w:right="37"/>
              <w:spacing w:after="0" w:line="92"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spacing w:after="0"/>
              <w:rPr>
                <w:sz w:val="7"/>
                <w:szCs w:val="7"/>
                <w:color w:val="auto"/>
              </w:rPr>
            </w:pPr>
          </w:p>
        </w:tc>
        <w:tc>
          <w:tcPr>
            <w:tcW w:w="240" w:type="dxa"/>
            <w:vAlign w:val="bottom"/>
          </w:tcPr>
          <w:p>
            <w:pPr>
              <w:jc w:val="right"/>
              <w:spacing w:after="0" w:line="92"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jc w:val="right"/>
              <w:ind w:right="57"/>
              <w:spacing w:after="0" w:line="92"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7"/>
                <w:szCs w:val="7"/>
                <w:color w:val="auto"/>
              </w:rPr>
            </w:pPr>
          </w:p>
        </w:tc>
        <w:tc>
          <w:tcPr>
            <w:tcW w:w="680" w:type="dxa"/>
            <w:vAlign w:val="bottom"/>
          </w:tcPr>
          <w:p>
            <w:pPr>
              <w:jc w:val="right"/>
              <w:spacing w:after="0" w:line="92" w:lineRule="exact"/>
              <w:rPr>
                <w:sz w:val="20"/>
                <w:szCs w:val="20"/>
                <w:color w:val="auto"/>
              </w:rPr>
            </w:pPr>
            <w:r>
              <w:rPr>
                <w:rFonts w:ascii="Times New Roman" w:cs="Times New Roman" w:eastAsia="Times New Roman" w:hAnsi="Times New Roman"/>
                <w:sz w:val="9"/>
                <w:szCs w:val="9"/>
                <w:color w:val="auto"/>
              </w:rPr>
              <w:t>(2,667)</w:t>
            </w:r>
          </w:p>
        </w:tc>
        <w:tc>
          <w:tcPr>
            <w:tcW w:w="100" w:type="dxa"/>
            <w:vAlign w:val="bottom"/>
          </w:tcPr>
          <w:p>
            <w:pPr>
              <w:spacing w:after="0"/>
              <w:rPr>
                <w:sz w:val="7"/>
                <w:szCs w:val="7"/>
                <w:color w:val="auto"/>
              </w:rPr>
            </w:pPr>
          </w:p>
        </w:tc>
        <w:tc>
          <w:tcPr>
            <w:tcW w:w="640" w:type="dxa"/>
            <w:vAlign w:val="bottom"/>
          </w:tcPr>
          <w:p>
            <w:pPr>
              <w:jc w:val="right"/>
              <w:ind w:right="57"/>
              <w:spacing w:after="0" w:line="92"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spacing w:after="0"/>
              <w:rPr>
                <w:sz w:val="7"/>
                <w:szCs w:val="7"/>
                <w:color w:val="auto"/>
              </w:rPr>
            </w:pPr>
          </w:p>
        </w:tc>
        <w:tc>
          <w:tcPr>
            <w:tcW w:w="380" w:type="dxa"/>
            <w:vAlign w:val="bottom"/>
          </w:tcPr>
          <w:p>
            <w:pPr>
              <w:jc w:val="right"/>
              <w:ind w:right="77"/>
              <w:spacing w:after="0" w:line="92"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7"/>
                <w:szCs w:val="7"/>
                <w:color w:val="auto"/>
              </w:rPr>
            </w:pPr>
          </w:p>
        </w:tc>
        <w:tc>
          <w:tcPr>
            <w:tcW w:w="880" w:type="dxa"/>
            <w:vAlign w:val="bottom"/>
          </w:tcPr>
          <w:p>
            <w:pPr>
              <w:jc w:val="right"/>
              <w:ind w:right="17"/>
              <w:spacing w:after="0" w:line="92" w:lineRule="exact"/>
              <w:rPr>
                <w:sz w:val="20"/>
                <w:szCs w:val="20"/>
                <w:color w:val="auto"/>
              </w:rPr>
            </w:pPr>
            <w:r>
              <w:rPr>
                <w:rFonts w:ascii="Times New Roman" w:cs="Times New Roman" w:eastAsia="Times New Roman" w:hAnsi="Times New Roman"/>
                <w:sz w:val="9"/>
                <w:szCs w:val="9"/>
                <w:color w:val="auto"/>
              </w:rPr>
              <w:t>(2,667)</w:t>
            </w:r>
          </w:p>
        </w:tc>
        <w:tc>
          <w:tcPr>
            <w:tcW w:w="100" w:type="dxa"/>
            <w:vAlign w:val="bottom"/>
          </w:tcPr>
          <w:p>
            <w:pPr>
              <w:spacing w:after="0"/>
              <w:rPr>
                <w:sz w:val="7"/>
                <w:szCs w:val="7"/>
                <w:color w:val="auto"/>
              </w:rPr>
            </w:pPr>
          </w:p>
        </w:tc>
        <w:tc>
          <w:tcPr>
            <w:tcW w:w="860" w:type="dxa"/>
            <w:vAlign w:val="bottom"/>
          </w:tcPr>
          <w:p>
            <w:pPr>
              <w:jc w:val="right"/>
              <w:spacing w:after="0" w:line="92" w:lineRule="exact"/>
              <w:rPr>
                <w:sz w:val="20"/>
                <w:szCs w:val="20"/>
                <w:color w:val="auto"/>
              </w:rPr>
            </w:pPr>
            <w:r>
              <w:rPr>
                <w:rFonts w:ascii="Times New Roman" w:cs="Times New Roman" w:eastAsia="Times New Roman" w:hAnsi="Times New Roman"/>
                <w:sz w:val="9"/>
                <w:szCs w:val="9"/>
                <w:color w:val="auto"/>
              </w:rPr>
              <w:t>(137)</w:t>
            </w:r>
          </w:p>
        </w:tc>
        <w:tc>
          <w:tcPr>
            <w:tcW w:w="100" w:type="dxa"/>
            <w:vAlign w:val="bottom"/>
          </w:tcPr>
          <w:p>
            <w:pPr>
              <w:spacing w:after="0"/>
              <w:rPr>
                <w:sz w:val="7"/>
                <w:szCs w:val="7"/>
                <w:color w:val="auto"/>
              </w:rPr>
            </w:pPr>
          </w:p>
        </w:tc>
        <w:tc>
          <w:tcPr>
            <w:tcW w:w="700" w:type="dxa"/>
            <w:vAlign w:val="bottom"/>
          </w:tcPr>
          <w:p>
            <w:pPr>
              <w:jc w:val="right"/>
              <w:spacing w:after="0" w:line="92" w:lineRule="exact"/>
              <w:rPr>
                <w:sz w:val="20"/>
                <w:szCs w:val="20"/>
                <w:color w:val="auto"/>
              </w:rPr>
            </w:pPr>
            <w:r>
              <w:rPr>
                <w:rFonts w:ascii="Times New Roman" w:cs="Times New Roman" w:eastAsia="Times New Roman" w:hAnsi="Times New Roman"/>
                <w:sz w:val="9"/>
                <w:szCs w:val="9"/>
                <w:color w:val="auto"/>
              </w:rPr>
              <w:t>(2,804)</w:t>
            </w:r>
          </w:p>
        </w:tc>
        <w:tc>
          <w:tcPr>
            <w:tcW w:w="20" w:type="dxa"/>
            <w:vAlign w:val="bottom"/>
          </w:tcPr>
          <w:p>
            <w:pPr>
              <w:spacing w:after="0"/>
              <w:rPr>
                <w:sz w:val="7"/>
                <w:szCs w:val="7"/>
                <w:color w:val="auto"/>
              </w:rPr>
            </w:pPr>
          </w:p>
        </w:tc>
      </w:tr>
      <w:tr>
        <w:trPr>
          <w:trHeight w:val="93"/>
        </w:trPr>
        <w:tc>
          <w:tcPr>
            <w:tcW w:w="2560" w:type="dxa"/>
            <w:vAlign w:val="bottom"/>
            <w:tcBorders>
              <w:right w:val="single" w:sz="8" w:color="auto"/>
            </w:tcBorders>
            <w:shd w:val="clear" w:color="auto" w:fill="CCEEFF"/>
          </w:tcPr>
          <w:p>
            <w:pPr>
              <w:spacing w:after="0" w:line="94" w:lineRule="exact"/>
              <w:rPr>
                <w:sz w:val="20"/>
                <w:szCs w:val="20"/>
                <w:color w:val="auto"/>
              </w:rPr>
            </w:pPr>
            <w:r>
              <w:rPr>
                <w:rFonts w:ascii="Times New Roman" w:cs="Times New Roman" w:eastAsia="Times New Roman" w:hAnsi="Times New Roman"/>
                <w:sz w:val="9"/>
                <w:szCs w:val="9"/>
                <w:color w:val="auto"/>
              </w:rPr>
              <w:t>Other comprehensive income, net</w:t>
            </w:r>
          </w:p>
        </w:tc>
        <w:tc>
          <w:tcPr>
            <w:tcW w:w="760" w:type="dxa"/>
            <w:vAlign w:val="bottom"/>
            <w:tcBorders>
              <w:right w:val="single" w:sz="8" w:color="CCEEFF"/>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300" w:type="dxa"/>
            <w:vAlign w:val="bottom"/>
            <w:tcBorders>
              <w:right w:val="single" w:sz="8" w:color="auto"/>
            </w:tcBorders>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8"/>
                <w:szCs w:val="8"/>
                <w:color w:val="auto"/>
              </w:rPr>
            </w:pPr>
          </w:p>
        </w:tc>
        <w:tc>
          <w:tcPr>
            <w:tcW w:w="360" w:type="dxa"/>
            <w:vAlign w:val="bottom"/>
            <w:tcBorders>
              <w:right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shd w:val="clear" w:color="auto" w:fill="CCEEFF"/>
          </w:tcPr>
          <w:p>
            <w:pPr>
              <w:spacing w:after="0"/>
              <w:rPr>
                <w:sz w:val="8"/>
                <w:szCs w:val="8"/>
                <w:color w:val="auto"/>
              </w:rPr>
            </w:pPr>
          </w:p>
        </w:tc>
        <w:tc>
          <w:tcPr>
            <w:tcW w:w="380" w:type="dxa"/>
            <w:vAlign w:val="bottom"/>
            <w:shd w:val="clear" w:color="auto" w:fill="CCEEFF"/>
          </w:tcPr>
          <w:p>
            <w:pPr>
              <w:jc w:val="right"/>
              <w:ind w:right="77"/>
              <w:spacing w:after="0" w:line="94" w:lineRule="exact"/>
              <w:rPr>
                <w:sz w:val="20"/>
                <w:szCs w:val="20"/>
                <w:color w:val="auto"/>
              </w:rPr>
            </w:pPr>
            <w:r>
              <w:rPr>
                <w:rFonts w:ascii="Times New Roman" w:cs="Times New Roman" w:eastAsia="Times New Roman" w:hAnsi="Times New Roman"/>
                <w:sz w:val="9"/>
                <w:szCs w:val="9"/>
                <w:color w:val="auto"/>
              </w:rPr>
              <w:t>2,704</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ind w:right="17"/>
              <w:spacing w:after="0" w:line="94" w:lineRule="exact"/>
              <w:rPr>
                <w:sz w:val="20"/>
                <w:szCs w:val="20"/>
                <w:color w:val="auto"/>
              </w:rPr>
            </w:pPr>
            <w:r>
              <w:rPr>
                <w:rFonts w:ascii="Times New Roman" w:cs="Times New Roman" w:eastAsia="Times New Roman" w:hAnsi="Times New Roman"/>
                <w:sz w:val="9"/>
                <w:szCs w:val="9"/>
                <w:color w:val="auto"/>
              </w:rPr>
              <w:t>2,704</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8</w:t>
            </w: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2,712</w:t>
            </w:r>
          </w:p>
        </w:tc>
      </w:tr>
      <w:tr>
        <w:trPr>
          <w:trHeight w:val="93"/>
        </w:trPr>
        <w:tc>
          <w:tcPr>
            <w:tcW w:w="2560" w:type="dxa"/>
            <w:vAlign w:val="bottom"/>
            <w:tcBorders>
              <w:right w:val="single" w:sz="8" w:color="auto"/>
            </w:tcBorders>
          </w:tcPr>
          <w:p>
            <w:pPr>
              <w:spacing w:after="0" w:line="94" w:lineRule="exact"/>
              <w:rPr>
                <w:sz w:val="20"/>
                <w:szCs w:val="20"/>
                <w:color w:val="auto"/>
              </w:rPr>
            </w:pPr>
            <w:r>
              <w:rPr>
                <w:rFonts w:ascii="Times New Roman" w:cs="Times New Roman" w:eastAsia="Times New Roman" w:hAnsi="Times New Roman"/>
                <w:sz w:val="9"/>
                <w:szCs w:val="9"/>
                <w:color w:val="auto"/>
              </w:rPr>
              <w:t>Share-based compensation expense</w:t>
            </w:r>
          </w:p>
        </w:tc>
        <w:tc>
          <w:tcPr>
            <w:tcW w:w="76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300" w:type="dxa"/>
            <w:vAlign w:val="bottom"/>
            <w:tcBorders>
              <w:right w:val="single" w:sz="8" w:color="auto"/>
            </w:tcBorders>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spacing w:after="0"/>
              <w:rPr>
                <w:sz w:val="8"/>
                <w:szCs w:val="8"/>
                <w:color w:val="auto"/>
              </w:rPr>
            </w:pPr>
          </w:p>
        </w:tc>
        <w:tc>
          <w:tcPr>
            <w:tcW w:w="24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530</w:t>
            </w:r>
          </w:p>
        </w:tc>
        <w:tc>
          <w:tcPr>
            <w:tcW w:w="180" w:type="dxa"/>
            <w:vAlign w:val="bottom"/>
          </w:tcPr>
          <w:p>
            <w:pPr>
              <w:spacing w:after="0"/>
              <w:rPr>
                <w:sz w:val="8"/>
                <w:szCs w:val="8"/>
                <w:color w:val="auto"/>
              </w:rPr>
            </w:pP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spacing w:after="0"/>
              <w:rPr>
                <w:sz w:val="8"/>
                <w:szCs w:val="8"/>
                <w:color w:val="auto"/>
              </w:rPr>
            </w:pPr>
          </w:p>
        </w:tc>
        <w:tc>
          <w:tcPr>
            <w:tcW w:w="380" w:type="dxa"/>
            <w:vAlign w:val="bottom"/>
          </w:tcPr>
          <w:p>
            <w:pPr>
              <w:jc w:val="right"/>
              <w:ind w:right="77"/>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880" w:type="dxa"/>
            <w:vAlign w:val="bottom"/>
          </w:tcPr>
          <w:p>
            <w:pPr>
              <w:jc w:val="right"/>
              <w:ind w:right="17"/>
              <w:spacing w:after="0" w:line="94" w:lineRule="exact"/>
              <w:rPr>
                <w:sz w:val="20"/>
                <w:szCs w:val="20"/>
                <w:color w:val="auto"/>
              </w:rPr>
            </w:pPr>
            <w:r>
              <w:rPr>
                <w:rFonts w:ascii="Times New Roman" w:cs="Times New Roman" w:eastAsia="Times New Roman" w:hAnsi="Times New Roman"/>
                <w:sz w:val="9"/>
                <w:szCs w:val="9"/>
                <w:color w:val="auto"/>
              </w:rPr>
              <w:t>530</w:t>
            </w:r>
          </w:p>
        </w:tc>
        <w:tc>
          <w:tcPr>
            <w:tcW w:w="100" w:type="dxa"/>
            <w:vAlign w:val="bottom"/>
          </w:tcPr>
          <w:p>
            <w:pPr>
              <w:spacing w:after="0"/>
              <w:rPr>
                <w:sz w:val="8"/>
                <w:szCs w:val="8"/>
                <w:color w:val="auto"/>
              </w:rPr>
            </w:pPr>
          </w:p>
        </w:tc>
        <w:tc>
          <w:tcPr>
            <w:tcW w:w="86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72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530</w:t>
            </w:r>
          </w:p>
        </w:tc>
      </w:tr>
      <w:tr>
        <w:trPr>
          <w:trHeight w:val="93"/>
        </w:trPr>
        <w:tc>
          <w:tcPr>
            <w:tcW w:w="2560" w:type="dxa"/>
            <w:vAlign w:val="bottom"/>
            <w:tcBorders>
              <w:right w:val="single" w:sz="8" w:color="auto"/>
            </w:tcBorders>
            <w:shd w:val="clear" w:color="auto" w:fill="CCEEFF"/>
          </w:tcPr>
          <w:p>
            <w:pPr>
              <w:spacing w:after="0" w:line="94" w:lineRule="exact"/>
              <w:rPr>
                <w:sz w:val="20"/>
                <w:szCs w:val="20"/>
                <w:color w:val="auto"/>
              </w:rPr>
            </w:pPr>
            <w:r>
              <w:rPr>
                <w:rFonts w:ascii="Times New Roman" w:cs="Times New Roman" w:eastAsia="Times New Roman" w:hAnsi="Times New Roman"/>
                <w:sz w:val="9"/>
                <w:szCs w:val="9"/>
                <w:color w:val="auto"/>
              </w:rPr>
              <w:t>Restricted Stock Units</w:t>
            </w:r>
          </w:p>
        </w:tc>
        <w:tc>
          <w:tcPr>
            <w:tcW w:w="760" w:type="dxa"/>
            <w:vAlign w:val="bottom"/>
            <w:tcBorders>
              <w:right w:val="single" w:sz="8" w:color="CCEEFF"/>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291</w:t>
            </w:r>
          </w:p>
        </w:tc>
        <w:tc>
          <w:tcPr>
            <w:tcW w:w="180" w:type="dxa"/>
            <w:vAlign w:val="bottom"/>
            <w:shd w:val="clear" w:color="auto" w:fill="CCEEFF"/>
          </w:tcPr>
          <w:p>
            <w:pPr>
              <w:spacing w:after="0"/>
              <w:rPr>
                <w:sz w:val="8"/>
                <w:szCs w:val="8"/>
                <w:color w:val="auto"/>
              </w:rPr>
            </w:pPr>
          </w:p>
        </w:tc>
        <w:tc>
          <w:tcPr>
            <w:tcW w:w="300" w:type="dxa"/>
            <w:vAlign w:val="bottom"/>
            <w:tcBorders>
              <w:right w:val="single" w:sz="8" w:color="auto"/>
            </w:tcBorders>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3</w:t>
            </w:r>
          </w:p>
        </w:tc>
        <w:tc>
          <w:tcPr>
            <w:tcW w:w="52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8"/>
                <w:szCs w:val="8"/>
                <w:color w:val="auto"/>
              </w:rPr>
            </w:pPr>
          </w:p>
        </w:tc>
        <w:tc>
          <w:tcPr>
            <w:tcW w:w="360" w:type="dxa"/>
            <w:vAlign w:val="bottom"/>
            <w:tcBorders>
              <w:right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(185)</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shd w:val="clear" w:color="auto" w:fill="CCEEFF"/>
          </w:tcPr>
          <w:p>
            <w:pPr>
              <w:spacing w:after="0"/>
              <w:rPr>
                <w:sz w:val="8"/>
                <w:szCs w:val="8"/>
                <w:color w:val="auto"/>
              </w:rPr>
            </w:pPr>
          </w:p>
        </w:tc>
        <w:tc>
          <w:tcPr>
            <w:tcW w:w="380" w:type="dxa"/>
            <w:vAlign w:val="bottom"/>
            <w:shd w:val="clear" w:color="auto" w:fill="CCEEFF"/>
          </w:tcPr>
          <w:p>
            <w:pPr>
              <w:jc w:val="right"/>
              <w:ind w:right="77"/>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ind w:right="17"/>
              <w:spacing w:after="0" w:line="94" w:lineRule="exact"/>
              <w:rPr>
                <w:sz w:val="20"/>
                <w:szCs w:val="20"/>
                <w:color w:val="auto"/>
              </w:rPr>
            </w:pPr>
            <w:r>
              <w:rPr>
                <w:rFonts w:ascii="Times New Roman" w:cs="Times New Roman" w:eastAsia="Times New Roman" w:hAnsi="Times New Roman"/>
                <w:sz w:val="9"/>
                <w:szCs w:val="9"/>
                <w:color w:val="auto"/>
              </w:rPr>
              <w:t>(182)</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(182)</w:t>
            </w:r>
          </w:p>
        </w:tc>
      </w:tr>
      <w:tr>
        <w:trPr>
          <w:trHeight w:val="82"/>
        </w:trPr>
        <w:tc>
          <w:tcPr>
            <w:tcW w:w="2560" w:type="dxa"/>
            <w:vAlign w:val="bottom"/>
            <w:tcBorders>
              <w:top w:val="single" w:sz="8" w:color="auto"/>
              <w:bottom w:val="single" w:sz="8" w:color="auto"/>
              <w:right w:val="single" w:sz="8" w:color="auto"/>
            </w:tcBorders>
          </w:tcPr>
          <w:p>
            <w:pPr>
              <w:spacing w:after="0" w:line="83" w:lineRule="exact"/>
              <w:rPr>
                <w:sz w:val="20"/>
                <w:szCs w:val="20"/>
                <w:color w:val="auto"/>
              </w:rPr>
            </w:pPr>
            <w:r>
              <w:rPr>
                <w:rFonts w:ascii="Times New Roman" w:cs="Times New Roman" w:eastAsia="Times New Roman" w:hAnsi="Times New Roman"/>
                <w:sz w:val="9"/>
                <w:szCs w:val="9"/>
                <w:color w:val="auto"/>
              </w:rPr>
              <w:t>At June 30, 2025</w:t>
            </w:r>
          </w:p>
        </w:tc>
        <w:tc>
          <w:tcPr>
            <w:tcW w:w="76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21,034</w:t>
            </w:r>
          </w:p>
        </w:tc>
        <w:tc>
          <w:tcPr>
            <w:tcW w:w="180" w:type="dxa"/>
            <w:vAlign w:val="bottom"/>
            <w:tcBorders>
              <w:top w:val="single" w:sz="8" w:color="auto"/>
              <w:bottom w:val="single" w:sz="8" w:color="auto"/>
            </w:tcBorders>
          </w:tcPr>
          <w:p>
            <w:pPr>
              <w:ind w:left="120"/>
              <w:spacing w:after="0" w:line="83" w:lineRule="exact"/>
              <w:rPr>
                <w:sz w:val="20"/>
                <w:szCs w:val="20"/>
                <w:color w:val="auto"/>
              </w:rPr>
            </w:pPr>
            <w:r>
              <w:rPr>
                <w:rFonts w:ascii="Times New Roman" w:cs="Times New Roman" w:eastAsia="Times New Roman" w:hAnsi="Times New Roman"/>
                <w:sz w:val="9"/>
                <w:szCs w:val="9"/>
                <w:color w:val="auto"/>
                <w:w w:val="87"/>
              </w:rPr>
              <w:t>$</w:t>
            </w:r>
          </w:p>
        </w:tc>
        <w:tc>
          <w:tcPr>
            <w:tcW w:w="300" w:type="dxa"/>
            <w:vAlign w:val="bottom"/>
            <w:tcBorders>
              <w:top w:val="single" w:sz="8" w:color="auto"/>
              <w:bottom w:val="single" w:sz="8" w:color="auto"/>
              <w:right w:val="single" w:sz="8" w:color="auto"/>
            </w:tcBorders>
          </w:tcPr>
          <w:p>
            <w:pPr>
              <w:jc w:val="right"/>
              <w:ind w:right="37"/>
              <w:spacing w:after="0" w:line="83" w:lineRule="exact"/>
              <w:rPr>
                <w:sz w:val="20"/>
                <w:szCs w:val="20"/>
                <w:color w:val="auto"/>
              </w:rPr>
            </w:pPr>
            <w:r>
              <w:rPr>
                <w:rFonts w:ascii="Times New Roman" w:cs="Times New Roman" w:eastAsia="Times New Roman" w:hAnsi="Times New Roman"/>
                <w:sz w:val="9"/>
                <w:szCs w:val="9"/>
                <w:color w:val="auto"/>
              </w:rPr>
              <w:t>241</w:t>
            </w:r>
          </w:p>
        </w:tc>
        <w:tc>
          <w:tcPr>
            <w:tcW w:w="520" w:type="dxa"/>
            <w:vAlign w:val="bottom"/>
            <w:tcBorders>
              <w:top w:val="single" w:sz="8" w:color="auto"/>
              <w:bottom w:val="single" w:sz="8" w:color="auto"/>
            </w:tcBorders>
          </w:tcPr>
          <w:p>
            <w:pPr>
              <w:spacing w:after="0"/>
              <w:rPr>
                <w:sz w:val="7"/>
                <w:szCs w:val="7"/>
                <w:color w:val="auto"/>
              </w:rPr>
            </w:pPr>
          </w:p>
        </w:tc>
        <w:tc>
          <w:tcPr>
            <w:tcW w:w="24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w w:val="98"/>
              </w:rPr>
              <w:t>1,681</w:t>
            </w:r>
          </w:p>
        </w:tc>
        <w:tc>
          <w:tcPr>
            <w:tcW w:w="16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360" w:type="dxa"/>
            <w:vAlign w:val="bottom"/>
            <w:tcBorders>
              <w:top w:val="single" w:sz="8" w:color="auto"/>
              <w:bottom w:val="single" w:sz="8" w:color="auto"/>
              <w:right w:val="single" w:sz="8" w:color="auto"/>
            </w:tcBorders>
          </w:tcPr>
          <w:p>
            <w:pPr>
              <w:jc w:val="right"/>
              <w:ind w:right="37"/>
              <w:spacing w:after="0" w:line="83" w:lineRule="exact"/>
              <w:rPr>
                <w:sz w:val="20"/>
                <w:szCs w:val="20"/>
                <w:color w:val="auto"/>
              </w:rPr>
            </w:pPr>
            <w:r>
              <w:rPr>
                <w:rFonts w:ascii="Times New Roman" w:cs="Times New Roman" w:eastAsia="Times New Roman" w:hAnsi="Times New Roman"/>
                <w:sz w:val="9"/>
                <w:szCs w:val="9"/>
                <w:color w:val="auto"/>
              </w:rPr>
              <w:t>17</w:t>
            </w:r>
          </w:p>
        </w:tc>
        <w:tc>
          <w:tcPr>
            <w:tcW w:w="140" w:type="dxa"/>
            <w:vAlign w:val="bottom"/>
            <w:tcBorders>
              <w:top w:val="single" w:sz="8" w:color="auto"/>
              <w:bottom w:val="single" w:sz="8" w:color="auto"/>
            </w:tcBorders>
          </w:tcPr>
          <w:p>
            <w:pPr>
              <w:spacing w:after="0"/>
              <w:rPr>
                <w:sz w:val="7"/>
                <w:szCs w:val="7"/>
                <w:color w:val="auto"/>
              </w:rPr>
            </w:pPr>
          </w:p>
        </w:tc>
        <w:tc>
          <w:tcPr>
            <w:tcW w:w="640" w:type="dxa"/>
            <w:vAlign w:val="bottom"/>
            <w:tcBorders>
              <w:top w:val="single" w:sz="8" w:color="auto"/>
              <w:bottom w:val="single" w:sz="8" w:color="auto"/>
            </w:tcBorders>
          </w:tcPr>
          <w:p>
            <w:pPr>
              <w:jc w:val="right"/>
              <w:ind w:right="57"/>
              <w:spacing w:after="0" w:line="83" w:lineRule="exact"/>
              <w:rPr>
                <w:sz w:val="20"/>
                <w:szCs w:val="20"/>
                <w:color w:val="auto"/>
              </w:rPr>
            </w:pPr>
            <w:r>
              <w:rPr>
                <w:rFonts w:ascii="Times New Roman" w:cs="Times New Roman" w:eastAsia="Times New Roman" w:hAnsi="Times New Roman"/>
                <w:sz w:val="9"/>
                <w:szCs w:val="9"/>
                <w:color w:val="auto"/>
              </w:rPr>
              <w:t>158,696</w:t>
            </w:r>
          </w:p>
        </w:tc>
        <w:tc>
          <w:tcPr>
            <w:tcW w:w="180" w:type="dxa"/>
            <w:vAlign w:val="bottom"/>
            <w:tcBorders>
              <w:top w:val="single" w:sz="8" w:color="auto"/>
              <w:bottom w:val="single" w:sz="8" w:color="auto"/>
            </w:tcBorders>
          </w:tcPr>
          <w:p>
            <w:pPr>
              <w:spacing w:after="0"/>
              <w:rPr>
                <w:sz w:val="7"/>
                <w:szCs w:val="7"/>
                <w:color w:val="auto"/>
              </w:rPr>
            </w:pPr>
          </w:p>
        </w:tc>
        <w:tc>
          <w:tcPr>
            <w:tcW w:w="68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(122,213)</w:t>
            </w:r>
          </w:p>
        </w:tc>
        <w:tc>
          <w:tcPr>
            <w:tcW w:w="100" w:type="dxa"/>
            <w:vAlign w:val="bottom"/>
            <w:tcBorders>
              <w:top w:val="single" w:sz="8" w:color="auto"/>
              <w:bottom w:val="single" w:sz="8" w:color="auto"/>
            </w:tcBorders>
          </w:tcPr>
          <w:p>
            <w:pPr>
              <w:spacing w:after="0"/>
              <w:rPr>
                <w:sz w:val="7"/>
                <w:szCs w:val="7"/>
                <w:color w:val="auto"/>
              </w:rPr>
            </w:pPr>
          </w:p>
        </w:tc>
        <w:tc>
          <w:tcPr>
            <w:tcW w:w="640" w:type="dxa"/>
            <w:vAlign w:val="bottom"/>
            <w:tcBorders>
              <w:top w:val="single" w:sz="8" w:color="auto"/>
              <w:bottom w:val="single" w:sz="8" w:color="auto"/>
            </w:tcBorders>
          </w:tcPr>
          <w:p>
            <w:pPr>
              <w:jc w:val="right"/>
              <w:ind w:right="57"/>
              <w:spacing w:after="0" w:line="83" w:lineRule="exact"/>
              <w:rPr>
                <w:sz w:val="20"/>
                <w:szCs w:val="20"/>
                <w:color w:val="auto"/>
              </w:rPr>
            </w:pPr>
            <w:r>
              <w:rPr>
                <w:rFonts w:ascii="Times New Roman" w:cs="Times New Roman" w:eastAsia="Times New Roman" w:hAnsi="Times New Roman"/>
                <w:sz w:val="9"/>
                <w:szCs w:val="9"/>
                <w:color w:val="auto"/>
              </w:rPr>
              <w:t>(40,407)</w:t>
            </w:r>
          </w:p>
        </w:tc>
        <w:tc>
          <w:tcPr>
            <w:tcW w:w="64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77"/>
              <w:spacing w:after="0" w:line="83" w:lineRule="exact"/>
              <w:rPr>
                <w:sz w:val="20"/>
                <w:szCs w:val="20"/>
                <w:color w:val="auto"/>
              </w:rPr>
            </w:pPr>
            <w:r>
              <w:rPr>
                <w:rFonts w:ascii="Times New Roman" w:cs="Times New Roman" w:eastAsia="Times New Roman" w:hAnsi="Times New Roman"/>
                <w:sz w:val="9"/>
                <w:szCs w:val="9"/>
                <w:color w:val="auto"/>
                <w:w w:val="91"/>
              </w:rPr>
              <w:t>(4,017)</w:t>
            </w:r>
          </w:p>
        </w:tc>
        <w:tc>
          <w:tcPr>
            <w:tcW w:w="180" w:type="dxa"/>
            <w:vAlign w:val="bottom"/>
            <w:tcBorders>
              <w:top w:val="single" w:sz="8" w:color="auto"/>
              <w:bottom w:val="single" w:sz="8" w:color="auto"/>
            </w:tcBorders>
          </w:tcPr>
          <w:p>
            <w:pPr>
              <w:spacing w:after="0"/>
              <w:rPr>
                <w:sz w:val="7"/>
                <w:szCs w:val="7"/>
                <w:color w:val="auto"/>
              </w:rPr>
            </w:pPr>
          </w:p>
        </w:tc>
        <w:tc>
          <w:tcPr>
            <w:tcW w:w="880" w:type="dxa"/>
            <w:vAlign w:val="bottom"/>
            <w:tcBorders>
              <w:top w:val="single" w:sz="8" w:color="auto"/>
              <w:bottom w:val="single" w:sz="8" w:color="auto"/>
            </w:tcBorders>
          </w:tcPr>
          <w:p>
            <w:pPr>
              <w:jc w:val="right"/>
              <w:ind w:right="17"/>
              <w:spacing w:after="0" w:line="83" w:lineRule="exact"/>
              <w:rPr>
                <w:sz w:val="20"/>
                <w:szCs w:val="20"/>
                <w:color w:val="auto"/>
              </w:rPr>
            </w:pPr>
            <w:r>
              <w:rPr>
                <w:rFonts w:ascii="Times New Roman" w:cs="Times New Roman" w:eastAsia="Times New Roman" w:hAnsi="Times New Roman"/>
                <w:sz w:val="9"/>
                <w:szCs w:val="9"/>
                <w:color w:val="auto"/>
              </w:rPr>
              <w:t>(7,683)</w:t>
            </w:r>
          </w:p>
        </w:tc>
        <w:tc>
          <w:tcPr>
            <w:tcW w:w="100" w:type="dxa"/>
            <w:vAlign w:val="bottom"/>
            <w:tcBorders>
              <w:top w:val="single" w:sz="8" w:color="auto"/>
              <w:bottom w:val="single" w:sz="8" w:color="auto"/>
            </w:tcBorders>
          </w:tcPr>
          <w:p>
            <w:pPr>
              <w:spacing w:after="0"/>
              <w:rPr>
                <w:sz w:val="7"/>
                <w:szCs w:val="7"/>
                <w:color w:val="auto"/>
              </w:rPr>
            </w:pPr>
          </w:p>
        </w:tc>
        <w:tc>
          <w:tcPr>
            <w:tcW w:w="86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(745)</w:t>
            </w:r>
          </w:p>
        </w:tc>
        <w:tc>
          <w:tcPr>
            <w:tcW w:w="100" w:type="dxa"/>
            <w:vAlign w:val="bottom"/>
            <w:tcBorders>
              <w:top w:val="single" w:sz="8" w:color="auto"/>
              <w:bottom w:val="single" w:sz="8" w:color="auto"/>
            </w:tcBorders>
          </w:tcPr>
          <w:p>
            <w:pPr>
              <w:spacing w:after="0"/>
              <w:rPr>
                <w:sz w:val="7"/>
                <w:szCs w:val="7"/>
                <w:color w:val="auto"/>
              </w:rPr>
            </w:pPr>
          </w:p>
        </w:tc>
        <w:tc>
          <w:tcPr>
            <w:tcW w:w="70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(8,428)</w:t>
            </w:r>
          </w:p>
        </w:tc>
        <w:tc>
          <w:tcPr>
            <w:tcW w:w="20" w:type="dxa"/>
            <w:vAlign w:val="bottom"/>
          </w:tcPr>
          <w:p>
            <w:pPr>
              <w:spacing w:after="0"/>
              <w:rPr>
                <w:sz w:val="7"/>
                <w:szCs w:val="7"/>
                <w:color w:val="auto"/>
              </w:rPr>
            </w:pPr>
          </w:p>
        </w:tc>
      </w:tr>
      <w:tr>
        <w:trPr>
          <w:trHeight w:val="92"/>
        </w:trPr>
        <w:tc>
          <w:tcPr>
            <w:tcW w:w="2560" w:type="dxa"/>
            <w:vAlign w:val="bottom"/>
            <w:tcBorders>
              <w:right w:val="single" w:sz="8" w:color="auto"/>
            </w:tcBorders>
            <w:shd w:val="clear" w:color="auto" w:fill="CCEEFF"/>
          </w:tcPr>
          <w:p>
            <w:pPr>
              <w:spacing w:after="0" w:line="92" w:lineRule="exact"/>
              <w:rPr>
                <w:sz w:val="20"/>
                <w:szCs w:val="20"/>
                <w:color w:val="auto"/>
              </w:rPr>
            </w:pPr>
            <w:r>
              <w:rPr>
                <w:rFonts w:ascii="Times New Roman" w:cs="Times New Roman" w:eastAsia="Times New Roman" w:hAnsi="Times New Roman"/>
                <w:sz w:val="9"/>
                <w:szCs w:val="9"/>
                <w:color w:val="auto"/>
              </w:rPr>
              <w:t>Net income</w:t>
            </w:r>
          </w:p>
        </w:tc>
        <w:tc>
          <w:tcPr>
            <w:tcW w:w="760" w:type="dxa"/>
            <w:vAlign w:val="bottom"/>
            <w:tcBorders>
              <w:right w:val="single" w:sz="8" w:color="CCEEFF"/>
            </w:tcBorders>
            <w:shd w:val="clear" w:color="auto" w:fill="CCEEFF"/>
          </w:tcPr>
          <w:p>
            <w:pPr>
              <w:jc w:val="right"/>
              <w:spacing w:after="0" w:line="92"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7"/>
                <w:szCs w:val="7"/>
                <w:color w:val="auto"/>
              </w:rPr>
            </w:pPr>
          </w:p>
        </w:tc>
        <w:tc>
          <w:tcPr>
            <w:tcW w:w="300" w:type="dxa"/>
            <w:vAlign w:val="bottom"/>
            <w:tcBorders>
              <w:right w:val="single" w:sz="8" w:color="auto"/>
            </w:tcBorders>
            <w:shd w:val="clear" w:color="auto" w:fill="CCEEFF"/>
          </w:tcPr>
          <w:p>
            <w:pPr>
              <w:jc w:val="right"/>
              <w:ind w:right="37"/>
              <w:spacing w:after="0" w:line="92"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spacing w:after="0"/>
              <w:rPr>
                <w:sz w:val="7"/>
                <w:szCs w:val="7"/>
                <w:color w:val="auto"/>
              </w:rPr>
            </w:pPr>
          </w:p>
        </w:tc>
        <w:tc>
          <w:tcPr>
            <w:tcW w:w="240" w:type="dxa"/>
            <w:vAlign w:val="bottom"/>
            <w:tcBorders>
              <w:right w:val="single" w:sz="8" w:color="CCEEFF"/>
            </w:tcBorders>
            <w:shd w:val="clear" w:color="auto" w:fill="CCEEFF"/>
          </w:tcPr>
          <w:p>
            <w:pPr>
              <w:jc w:val="right"/>
              <w:spacing w:after="0" w:line="92"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7"/>
                <w:szCs w:val="7"/>
                <w:color w:val="auto"/>
              </w:rPr>
            </w:pPr>
          </w:p>
        </w:tc>
        <w:tc>
          <w:tcPr>
            <w:tcW w:w="360" w:type="dxa"/>
            <w:vAlign w:val="bottom"/>
            <w:tcBorders>
              <w:right w:val="single" w:sz="8" w:color="auto"/>
            </w:tcBorders>
            <w:shd w:val="clear" w:color="auto" w:fill="CCEEFF"/>
          </w:tcPr>
          <w:p>
            <w:pPr>
              <w:jc w:val="right"/>
              <w:ind w:right="37"/>
              <w:spacing w:after="0" w:line="92"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57"/>
              <w:spacing w:after="0" w:line="92"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7"/>
                <w:szCs w:val="7"/>
                <w:color w:val="auto"/>
              </w:rPr>
            </w:pPr>
          </w:p>
        </w:tc>
        <w:tc>
          <w:tcPr>
            <w:tcW w:w="680" w:type="dxa"/>
            <w:vAlign w:val="bottom"/>
            <w:shd w:val="clear" w:color="auto" w:fill="CCEEFF"/>
          </w:tcPr>
          <w:p>
            <w:pPr>
              <w:jc w:val="right"/>
              <w:spacing w:after="0" w:line="92" w:lineRule="exact"/>
              <w:rPr>
                <w:sz w:val="20"/>
                <w:szCs w:val="20"/>
                <w:color w:val="auto"/>
              </w:rPr>
            </w:pPr>
            <w:r>
              <w:rPr>
                <w:rFonts w:ascii="Times New Roman" w:cs="Times New Roman" w:eastAsia="Times New Roman" w:hAnsi="Times New Roman"/>
                <w:sz w:val="9"/>
                <w:szCs w:val="9"/>
                <w:color w:val="auto"/>
              </w:rPr>
              <w:t>(4,157)</w:t>
            </w: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57"/>
              <w:spacing w:after="0" w:line="92"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shd w:val="clear" w:color="auto" w:fill="CCEEFF"/>
          </w:tcPr>
          <w:p>
            <w:pPr>
              <w:spacing w:after="0"/>
              <w:rPr>
                <w:sz w:val="7"/>
                <w:szCs w:val="7"/>
                <w:color w:val="auto"/>
              </w:rPr>
            </w:pPr>
          </w:p>
        </w:tc>
        <w:tc>
          <w:tcPr>
            <w:tcW w:w="380" w:type="dxa"/>
            <w:vAlign w:val="bottom"/>
            <w:shd w:val="clear" w:color="auto" w:fill="CCEEFF"/>
          </w:tcPr>
          <w:p>
            <w:pPr>
              <w:jc w:val="right"/>
              <w:ind w:right="77"/>
              <w:spacing w:after="0" w:line="92"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7"/>
                <w:szCs w:val="7"/>
                <w:color w:val="auto"/>
              </w:rPr>
            </w:pPr>
          </w:p>
        </w:tc>
        <w:tc>
          <w:tcPr>
            <w:tcW w:w="880" w:type="dxa"/>
            <w:vAlign w:val="bottom"/>
            <w:shd w:val="clear" w:color="auto" w:fill="CCEEFF"/>
          </w:tcPr>
          <w:p>
            <w:pPr>
              <w:jc w:val="right"/>
              <w:ind w:right="17"/>
              <w:spacing w:after="0" w:line="92" w:lineRule="exact"/>
              <w:rPr>
                <w:sz w:val="20"/>
                <w:szCs w:val="20"/>
                <w:color w:val="auto"/>
              </w:rPr>
            </w:pPr>
            <w:r>
              <w:rPr>
                <w:rFonts w:ascii="Times New Roman" w:cs="Times New Roman" w:eastAsia="Times New Roman" w:hAnsi="Times New Roman"/>
                <w:sz w:val="9"/>
                <w:szCs w:val="9"/>
                <w:color w:val="auto"/>
              </w:rPr>
              <w:t>(4,157)</w:t>
            </w: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jc w:val="right"/>
              <w:spacing w:after="0" w:line="92" w:lineRule="exact"/>
              <w:rPr>
                <w:sz w:val="20"/>
                <w:szCs w:val="20"/>
                <w:color w:val="auto"/>
              </w:rPr>
            </w:pPr>
            <w:r>
              <w:rPr>
                <w:rFonts w:ascii="Times New Roman" w:cs="Times New Roman" w:eastAsia="Times New Roman" w:hAnsi="Times New Roman"/>
                <w:sz w:val="9"/>
                <w:szCs w:val="9"/>
                <w:color w:val="auto"/>
              </w:rPr>
              <w:t>(148)</w:t>
            </w: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line="92" w:lineRule="exact"/>
              <w:rPr>
                <w:sz w:val="20"/>
                <w:szCs w:val="20"/>
                <w:color w:val="auto"/>
              </w:rPr>
            </w:pPr>
            <w:r>
              <w:rPr>
                <w:rFonts w:ascii="Times New Roman" w:cs="Times New Roman" w:eastAsia="Times New Roman" w:hAnsi="Times New Roman"/>
                <w:sz w:val="9"/>
                <w:szCs w:val="9"/>
                <w:color w:val="auto"/>
              </w:rPr>
              <w:t>(4,305)</w:t>
            </w:r>
          </w:p>
        </w:tc>
        <w:tc>
          <w:tcPr>
            <w:tcW w:w="20" w:type="dxa"/>
            <w:vAlign w:val="bottom"/>
          </w:tcPr>
          <w:p>
            <w:pPr>
              <w:spacing w:after="0"/>
              <w:rPr>
                <w:sz w:val="7"/>
                <w:szCs w:val="7"/>
                <w:color w:val="auto"/>
              </w:rPr>
            </w:pPr>
          </w:p>
        </w:tc>
      </w:tr>
      <w:tr>
        <w:trPr>
          <w:trHeight w:val="93"/>
        </w:trPr>
        <w:tc>
          <w:tcPr>
            <w:tcW w:w="2560" w:type="dxa"/>
            <w:vAlign w:val="bottom"/>
            <w:tcBorders>
              <w:right w:val="single" w:sz="8" w:color="auto"/>
            </w:tcBorders>
          </w:tcPr>
          <w:p>
            <w:pPr>
              <w:spacing w:after="0" w:line="94" w:lineRule="exact"/>
              <w:rPr>
                <w:sz w:val="20"/>
                <w:szCs w:val="20"/>
                <w:color w:val="auto"/>
              </w:rPr>
            </w:pPr>
            <w:r>
              <w:rPr>
                <w:rFonts w:ascii="Times New Roman" w:cs="Times New Roman" w:eastAsia="Times New Roman" w:hAnsi="Times New Roman"/>
                <w:sz w:val="9"/>
                <w:szCs w:val="9"/>
                <w:color w:val="auto"/>
              </w:rPr>
              <w:t>Other comprehensive income, net</w:t>
            </w:r>
          </w:p>
        </w:tc>
        <w:tc>
          <w:tcPr>
            <w:tcW w:w="76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300" w:type="dxa"/>
            <w:vAlign w:val="bottom"/>
            <w:tcBorders>
              <w:right w:val="single" w:sz="8" w:color="auto"/>
            </w:tcBorders>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spacing w:after="0"/>
              <w:rPr>
                <w:sz w:val="8"/>
                <w:szCs w:val="8"/>
                <w:color w:val="auto"/>
              </w:rPr>
            </w:pPr>
          </w:p>
        </w:tc>
        <w:tc>
          <w:tcPr>
            <w:tcW w:w="24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360" w:type="dxa"/>
            <w:vAlign w:val="bottom"/>
            <w:tcBorders>
              <w:right w:val="single" w:sz="8" w:color="auto"/>
            </w:tcBorders>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6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spacing w:after="0"/>
              <w:rPr>
                <w:sz w:val="8"/>
                <w:szCs w:val="8"/>
                <w:color w:val="auto"/>
              </w:rPr>
            </w:pPr>
          </w:p>
        </w:tc>
        <w:tc>
          <w:tcPr>
            <w:tcW w:w="380" w:type="dxa"/>
            <w:vAlign w:val="bottom"/>
          </w:tcPr>
          <w:p>
            <w:pPr>
              <w:jc w:val="right"/>
              <w:ind w:right="77"/>
              <w:spacing w:after="0" w:line="94" w:lineRule="exact"/>
              <w:rPr>
                <w:sz w:val="20"/>
                <w:szCs w:val="20"/>
                <w:color w:val="auto"/>
              </w:rPr>
            </w:pPr>
            <w:r>
              <w:rPr>
                <w:rFonts w:ascii="Times New Roman" w:cs="Times New Roman" w:eastAsia="Times New Roman" w:hAnsi="Times New Roman"/>
                <w:sz w:val="9"/>
                <w:szCs w:val="9"/>
                <w:color w:val="auto"/>
              </w:rPr>
              <w:t>(613)</w:t>
            </w:r>
          </w:p>
        </w:tc>
        <w:tc>
          <w:tcPr>
            <w:tcW w:w="180" w:type="dxa"/>
            <w:vAlign w:val="bottom"/>
          </w:tcPr>
          <w:p>
            <w:pPr>
              <w:spacing w:after="0"/>
              <w:rPr>
                <w:sz w:val="8"/>
                <w:szCs w:val="8"/>
                <w:color w:val="auto"/>
              </w:rPr>
            </w:pPr>
          </w:p>
        </w:tc>
        <w:tc>
          <w:tcPr>
            <w:tcW w:w="880" w:type="dxa"/>
            <w:vAlign w:val="bottom"/>
          </w:tcPr>
          <w:p>
            <w:pPr>
              <w:jc w:val="right"/>
              <w:ind w:right="17"/>
              <w:spacing w:after="0" w:line="94" w:lineRule="exact"/>
              <w:rPr>
                <w:sz w:val="20"/>
                <w:szCs w:val="20"/>
                <w:color w:val="auto"/>
              </w:rPr>
            </w:pPr>
            <w:r>
              <w:rPr>
                <w:rFonts w:ascii="Times New Roman" w:cs="Times New Roman" w:eastAsia="Times New Roman" w:hAnsi="Times New Roman"/>
                <w:sz w:val="9"/>
                <w:szCs w:val="9"/>
                <w:color w:val="auto"/>
              </w:rPr>
              <w:t>(613)</w:t>
            </w:r>
          </w:p>
        </w:tc>
        <w:tc>
          <w:tcPr>
            <w:tcW w:w="100" w:type="dxa"/>
            <w:vAlign w:val="bottom"/>
          </w:tcPr>
          <w:p>
            <w:pPr>
              <w:spacing w:after="0"/>
              <w:rPr>
                <w:sz w:val="8"/>
                <w:szCs w:val="8"/>
                <w:color w:val="auto"/>
              </w:rPr>
            </w:pPr>
          </w:p>
        </w:tc>
        <w:tc>
          <w:tcPr>
            <w:tcW w:w="86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70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(613)</w:t>
            </w:r>
          </w:p>
        </w:tc>
        <w:tc>
          <w:tcPr>
            <w:tcW w:w="20" w:type="dxa"/>
            <w:vAlign w:val="bottom"/>
          </w:tcPr>
          <w:p>
            <w:pPr>
              <w:spacing w:after="0"/>
              <w:rPr>
                <w:sz w:val="8"/>
                <w:szCs w:val="8"/>
                <w:color w:val="auto"/>
              </w:rPr>
            </w:pPr>
          </w:p>
        </w:tc>
      </w:tr>
      <w:tr>
        <w:trPr>
          <w:trHeight w:val="93"/>
        </w:trPr>
        <w:tc>
          <w:tcPr>
            <w:tcW w:w="2560" w:type="dxa"/>
            <w:vAlign w:val="bottom"/>
            <w:tcBorders>
              <w:right w:val="single" w:sz="8" w:color="auto"/>
            </w:tcBorders>
            <w:shd w:val="clear" w:color="auto" w:fill="CCEEFF"/>
          </w:tcPr>
          <w:p>
            <w:pPr>
              <w:spacing w:after="0" w:line="94" w:lineRule="exact"/>
              <w:rPr>
                <w:sz w:val="20"/>
                <w:szCs w:val="20"/>
                <w:color w:val="auto"/>
              </w:rPr>
            </w:pPr>
            <w:r>
              <w:rPr>
                <w:rFonts w:ascii="Times New Roman" w:cs="Times New Roman" w:eastAsia="Times New Roman" w:hAnsi="Times New Roman"/>
                <w:sz w:val="9"/>
                <w:szCs w:val="9"/>
                <w:color w:val="auto"/>
              </w:rPr>
              <w:t>Share-based compensation expense</w:t>
            </w:r>
          </w:p>
        </w:tc>
        <w:tc>
          <w:tcPr>
            <w:tcW w:w="760" w:type="dxa"/>
            <w:vAlign w:val="bottom"/>
            <w:tcBorders>
              <w:right w:val="single" w:sz="8" w:color="CCEEFF"/>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300" w:type="dxa"/>
            <w:vAlign w:val="bottom"/>
            <w:tcBorders>
              <w:right w:val="single" w:sz="8" w:color="auto"/>
            </w:tcBorders>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8"/>
                <w:szCs w:val="8"/>
                <w:color w:val="auto"/>
              </w:rPr>
            </w:pPr>
          </w:p>
        </w:tc>
        <w:tc>
          <w:tcPr>
            <w:tcW w:w="360" w:type="dxa"/>
            <w:vAlign w:val="bottom"/>
            <w:tcBorders>
              <w:right w:val="single" w:sz="8" w:color="auto"/>
            </w:tcBorders>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391</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shd w:val="clear" w:color="auto" w:fill="CCEEFF"/>
          </w:tcPr>
          <w:p>
            <w:pPr>
              <w:spacing w:after="0"/>
              <w:rPr>
                <w:sz w:val="8"/>
                <w:szCs w:val="8"/>
                <w:color w:val="auto"/>
              </w:rPr>
            </w:pPr>
          </w:p>
        </w:tc>
        <w:tc>
          <w:tcPr>
            <w:tcW w:w="380" w:type="dxa"/>
            <w:vAlign w:val="bottom"/>
            <w:shd w:val="clear" w:color="auto" w:fill="CCEEFF"/>
          </w:tcPr>
          <w:p>
            <w:pPr>
              <w:jc w:val="right"/>
              <w:ind w:right="77"/>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ind w:right="17"/>
              <w:spacing w:after="0" w:line="94" w:lineRule="exact"/>
              <w:rPr>
                <w:sz w:val="20"/>
                <w:szCs w:val="20"/>
                <w:color w:val="auto"/>
              </w:rPr>
            </w:pPr>
            <w:r>
              <w:rPr>
                <w:rFonts w:ascii="Times New Roman" w:cs="Times New Roman" w:eastAsia="Times New Roman" w:hAnsi="Times New Roman"/>
                <w:sz w:val="9"/>
                <w:szCs w:val="9"/>
                <w:color w:val="auto"/>
              </w:rPr>
              <w:t>391</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391</w:t>
            </w:r>
          </w:p>
        </w:tc>
      </w:tr>
      <w:tr>
        <w:trPr>
          <w:trHeight w:val="93"/>
        </w:trPr>
        <w:tc>
          <w:tcPr>
            <w:tcW w:w="2560" w:type="dxa"/>
            <w:vAlign w:val="bottom"/>
            <w:tcBorders>
              <w:right w:val="single" w:sz="8" w:color="auto"/>
            </w:tcBorders>
          </w:tcPr>
          <w:p>
            <w:pPr>
              <w:spacing w:after="0" w:line="94" w:lineRule="exact"/>
              <w:rPr>
                <w:sz w:val="20"/>
                <w:szCs w:val="20"/>
                <w:color w:val="auto"/>
              </w:rPr>
            </w:pPr>
            <w:r>
              <w:rPr>
                <w:rFonts w:ascii="Times New Roman" w:cs="Times New Roman" w:eastAsia="Times New Roman" w:hAnsi="Times New Roman"/>
                <w:sz w:val="9"/>
                <w:szCs w:val="9"/>
                <w:color w:val="auto"/>
              </w:rPr>
              <w:t>Distributions to noncontrolling stockholders</w:t>
            </w:r>
          </w:p>
        </w:tc>
        <w:tc>
          <w:tcPr>
            <w:tcW w:w="76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300" w:type="dxa"/>
            <w:vAlign w:val="bottom"/>
            <w:tcBorders>
              <w:right w:val="single" w:sz="8" w:color="auto"/>
            </w:tcBorders>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spacing w:after="0"/>
              <w:rPr>
                <w:sz w:val="8"/>
                <w:szCs w:val="8"/>
                <w:color w:val="auto"/>
              </w:rPr>
            </w:pPr>
          </w:p>
        </w:tc>
        <w:tc>
          <w:tcPr>
            <w:tcW w:w="24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360" w:type="dxa"/>
            <w:vAlign w:val="bottom"/>
            <w:tcBorders>
              <w:right w:val="single" w:sz="8" w:color="auto"/>
            </w:tcBorders>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6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0</w:t>
            </w:r>
          </w:p>
        </w:tc>
        <w:tc>
          <w:tcPr>
            <w:tcW w:w="180" w:type="dxa"/>
            <w:vAlign w:val="bottom"/>
          </w:tcPr>
          <w:p>
            <w:pPr>
              <w:spacing w:after="0"/>
              <w:rPr>
                <w:sz w:val="8"/>
                <w:szCs w:val="8"/>
                <w:color w:val="auto"/>
              </w:rPr>
            </w:pP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spacing w:after="0"/>
              <w:rPr>
                <w:sz w:val="8"/>
                <w:szCs w:val="8"/>
                <w:color w:val="auto"/>
              </w:rPr>
            </w:pPr>
          </w:p>
        </w:tc>
        <w:tc>
          <w:tcPr>
            <w:tcW w:w="380" w:type="dxa"/>
            <w:vAlign w:val="bottom"/>
          </w:tcPr>
          <w:p>
            <w:pPr>
              <w:jc w:val="right"/>
              <w:ind w:right="77"/>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880" w:type="dxa"/>
            <w:vAlign w:val="bottom"/>
          </w:tcPr>
          <w:p>
            <w:pPr>
              <w:jc w:val="right"/>
              <w:ind w:right="17"/>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86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(57)</w:t>
            </w:r>
          </w:p>
        </w:tc>
        <w:tc>
          <w:tcPr>
            <w:tcW w:w="100" w:type="dxa"/>
            <w:vAlign w:val="bottom"/>
          </w:tcPr>
          <w:p>
            <w:pPr>
              <w:spacing w:after="0"/>
              <w:rPr>
                <w:sz w:val="8"/>
                <w:szCs w:val="8"/>
                <w:color w:val="auto"/>
              </w:rPr>
            </w:pPr>
          </w:p>
        </w:tc>
        <w:tc>
          <w:tcPr>
            <w:tcW w:w="72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(57)</w:t>
            </w:r>
          </w:p>
        </w:tc>
      </w:tr>
      <w:tr>
        <w:trPr>
          <w:trHeight w:val="82"/>
        </w:trPr>
        <w:tc>
          <w:tcPr>
            <w:tcW w:w="2560" w:type="dxa"/>
            <w:vAlign w:val="bottom"/>
            <w:tcBorders>
              <w:top w:val="single" w:sz="8" w:color="auto"/>
              <w:bottom w:val="single" w:sz="8" w:color="auto"/>
              <w:right w:val="single" w:sz="8" w:color="auto"/>
            </w:tcBorders>
            <w:shd w:val="clear" w:color="auto" w:fill="CCEEFF"/>
          </w:tcPr>
          <w:p>
            <w:pPr>
              <w:spacing w:after="0" w:line="83" w:lineRule="exact"/>
              <w:rPr>
                <w:sz w:val="20"/>
                <w:szCs w:val="20"/>
                <w:color w:val="auto"/>
              </w:rPr>
            </w:pPr>
            <w:r>
              <w:rPr>
                <w:rFonts w:ascii="Times New Roman" w:cs="Times New Roman" w:eastAsia="Times New Roman" w:hAnsi="Times New Roman"/>
                <w:sz w:val="9"/>
                <w:szCs w:val="9"/>
                <w:color w:val="auto"/>
              </w:rPr>
              <w:t>At September 30, 2025</w:t>
            </w:r>
          </w:p>
        </w:tc>
        <w:tc>
          <w:tcPr>
            <w:tcW w:w="760" w:type="dxa"/>
            <w:vAlign w:val="bottom"/>
            <w:tcBorders>
              <w:top w:val="single" w:sz="8" w:color="auto"/>
              <w:bottom w:val="single" w:sz="8" w:color="auto"/>
              <w:right w:val="single" w:sz="8" w:color="CCEEFF"/>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21,034</w:t>
            </w:r>
          </w:p>
        </w:tc>
        <w:tc>
          <w:tcPr>
            <w:tcW w:w="180" w:type="dxa"/>
            <w:vAlign w:val="bottom"/>
            <w:tcBorders>
              <w:top w:val="single" w:sz="8" w:color="auto"/>
              <w:bottom w:val="single" w:sz="8" w:color="auto"/>
            </w:tcBorders>
            <w:shd w:val="clear" w:color="auto" w:fill="CCEEFF"/>
          </w:tcPr>
          <w:p>
            <w:pPr>
              <w:spacing w:after="0"/>
              <w:rPr>
                <w:sz w:val="7"/>
                <w:szCs w:val="7"/>
                <w:color w:val="auto"/>
              </w:rPr>
            </w:pPr>
          </w:p>
        </w:tc>
        <w:tc>
          <w:tcPr>
            <w:tcW w:w="300" w:type="dxa"/>
            <w:vAlign w:val="bottom"/>
            <w:tcBorders>
              <w:top w:val="single" w:sz="8" w:color="auto"/>
              <w:bottom w:val="single" w:sz="8" w:color="auto"/>
              <w:right w:val="single" w:sz="8" w:color="auto"/>
            </w:tcBorders>
            <w:shd w:val="clear" w:color="auto" w:fill="CCEEFF"/>
          </w:tcPr>
          <w:p>
            <w:pPr>
              <w:jc w:val="right"/>
              <w:ind w:right="37"/>
              <w:spacing w:after="0" w:line="83" w:lineRule="exact"/>
              <w:rPr>
                <w:sz w:val="20"/>
                <w:szCs w:val="20"/>
                <w:color w:val="auto"/>
              </w:rPr>
            </w:pPr>
            <w:r>
              <w:rPr>
                <w:rFonts w:ascii="Times New Roman" w:cs="Times New Roman" w:eastAsia="Times New Roman" w:hAnsi="Times New Roman"/>
                <w:sz w:val="9"/>
                <w:szCs w:val="9"/>
                <w:color w:val="auto"/>
              </w:rPr>
              <w:t>241</w:t>
            </w:r>
          </w:p>
        </w:tc>
        <w:tc>
          <w:tcPr>
            <w:tcW w:w="520" w:type="dxa"/>
            <w:vAlign w:val="bottom"/>
            <w:tcBorders>
              <w:top w:val="single" w:sz="8" w:color="auto"/>
              <w:bottom w:val="single" w:sz="8" w:color="auto"/>
            </w:tcBorders>
            <w:shd w:val="clear" w:color="auto" w:fill="CCEEFF"/>
          </w:tcPr>
          <w:p>
            <w:pPr>
              <w:spacing w:after="0"/>
              <w:rPr>
                <w:sz w:val="7"/>
                <w:szCs w:val="7"/>
                <w:color w:val="auto"/>
              </w:rPr>
            </w:pPr>
          </w:p>
        </w:tc>
        <w:tc>
          <w:tcPr>
            <w:tcW w:w="240" w:type="dxa"/>
            <w:vAlign w:val="bottom"/>
            <w:tcBorders>
              <w:top w:val="single" w:sz="8" w:color="auto"/>
              <w:bottom w:val="single" w:sz="8" w:color="auto"/>
              <w:right w:val="single" w:sz="8" w:color="CCEEFF"/>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w w:val="98"/>
              </w:rPr>
              <w:t>1,681</w:t>
            </w:r>
          </w:p>
        </w:tc>
        <w:tc>
          <w:tcPr>
            <w:tcW w:w="160" w:type="dxa"/>
            <w:vAlign w:val="bottom"/>
            <w:tcBorders>
              <w:top w:val="single" w:sz="8" w:color="auto"/>
              <w:bottom w:val="single" w:sz="8" w:color="auto"/>
            </w:tcBorders>
            <w:shd w:val="clear" w:color="auto" w:fill="CCEEFF"/>
          </w:tcPr>
          <w:p>
            <w:pPr>
              <w:spacing w:after="0"/>
              <w:rPr>
                <w:sz w:val="7"/>
                <w:szCs w:val="7"/>
                <w:color w:val="auto"/>
              </w:rPr>
            </w:pPr>
          </w:p>
        </w:tc>
        <w:tc>
          <w:tcPr>
            <w:tcW w:w="360" w:type="dxa"/>
            <w:vAlign w:val="bottom"/>
            <w:tcBorders>
              <w:top w:val="single" w:sz="8" w:color="auto"/>
              <w:bottom w:val="single" w:sz="8" w:color="auto"/>
              <w:right w:val="single" w:sz="8" w:color="auto"/>
            </w:tcBorders>
            <w:shd w:val="clear" w:color="auto" w:fill="CCEEFF"/>
          </w:tcPr>
          <w:p>
            <w:pPr>
              <w:jc w:val="right"/>
              <w:ind w:right="37"/>
              <w:spacing w:after="0" w:line="83" w:lineRule="exact"/>
              <w:rPr>
                <w:sz w:val="20"/>
                <w:szCs w:val="20"/>
                <w:color w:val="auto"/>
              </w:rPr>
            </w:pPr>
            <w:r>
              <w:rPr>
                <w:rFonts w:ascii="Times New Roman" w:cs="Times New Roman" w:eastAsia="Times New Roman" w:hAnsi="Times New Roman"/>
                <w:sz w:val="9"/>
                <w:szCs w:val="9"/>
                <w:color w:val="auto"/>
              </w:rPr>
              <w:t>17</w:t>
            </w:r>
          </w:p>
        </w:tc>
        <w:tc>
          <w:tcPr>
            <w:tcW w:w="140" w:type="dxa"/>
            <w:vAlign w:val="bottom"/>
            <w:tcBorders>
              <w:top w:val="single" w:sz="8" w:color="auto"/>
              <w:bottom w:val="single" w:sz="8" w:color="auto"/>
            </w:tcBorders>
            <w:shd w:val="clear" w:color="auto" w:fill="CCEEFF"/>
          </w:tcPr>
          <w:p>
            <w:pPr>
              <w:spacing w:after="0"/>
              <w:rPr>
                <w:sz w:val="7"/>
                <w:szCs w:val="7"/>
                <w:color w:val="auto"/>
              </w:rPr>
            </w:pPr>
          </w:p>
        </w:tc>
        <w:tc>
          <w:tcPr>
            <w:tcW w:w="640" w:type="dxa"/>
            <w:vAlign w:val="bottom"/>
            <w:tcBorders>
              <w:top w:val="single" w:sz="8" w:color="auto"/>
              <w:bottom w:val="single" w:sz="8" w:color="auto"/>
            </w:tcBorders>
            <w:shd w:val="clear" w:color="auto" w:fill="CCEEFF"/>
          </w:tcPr>
          <w:p>
            <w:pPr>
              <w:jc w:val="right"/>
              <w:ind w:right="57"/>
              <w:spacing w:after="0" w:line="83" w:lineRule="exact"/>
              <w:rPr>
                <w:sz w:val="20"/>
                <w:szCs w:val="20"/>
                <w:color w:val="auto"/>
              </w:rPr>
            </w:pPr>
            <w:r>
              <w:rPr>
                <w:rFonts w:ascii="Times New Roman" w:cs="Times New Roman" w:eastAsia="Times New Roman" w:hAnsi="Times New Roman"/>
                <w:sz w:val="9"/>
                <w:szCs w:val="9"/>
                <w:color w:val="auto"/>
              </w:rPr>
              <w:t>159,087</w:t>
            </w:r>
          </w:p>
        </w:tc>
        <w:tc>
          <w:tcPr>
            <w:tcW w:w="180" w:type="dxa"/>
            <w:vAlign w:val="bottom"/>
            <w:tcBorders>
              <w:top w:val="single" w:sz="8" w:color="auto"/>
              <w:bottom w:val="single" w:sz="8" w:color="auto"/>
            </w:tcBorders>
            <w:shd w:val="clear" w:color="auto" w:fill="CCEEFF"/>
          </w:tcPr>
          <w:p>
            <w:pPr>
              <w:spacing w:after="0"/>
              <w:rPr>
                <w:sz w:val="7"/>
                <w:szCs w:val="7"/>
                <w:color w:val="auto"/>
              </w:rPr>
            </w:pPr>
          </w:p>
        </w:tc>
        <w:tc>
          <w:tcPr>
            <w:tcW w:w="68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(126,370)</w:t>
            </w:r>
          </w:p>
        </w:tc>
        <w:tc>
          <w:tcPr>
            <w:tcW w:w="100" w:type="dxa"/>
            <w:vAlign w:val="bottom"/>
            <w:tcBorders>
              <w:top w:val="single" w:sz="8" w:color="auto"/>
              <w:bottom w:val="single" w:sz="8" w:color="auto"/>
            </w:tcBorders>
            <w:shd w:val="clear" w:color="auto" w:fill="CCEEFF"/>
          </w:tcPr>
          <w:p>
            <w:pPr>
              <w:spacing w:after="0"/>
              <w:rPr>
                <w:sz w:val="7"/>
                <w:szCs w:val="7"/>
                <w:color w:val="auto"/>
              </w:rPr>
            </w:pPr>
          </w:p>
        </w:tc>
        <w:tc>
          <w:tcPr>
            <w:tcW w:w="640" w:type="dxa"/>
            <w:vAlign w:val="bottom"/>
            <w:tcBorders>
              <w:top w:val="single" w:sz="8" w:color="auto"/>
              <w:bottom w:val="single" w:sz="8" w:color="auto"/>
            </w:tcBorders>
            <w:shd w:val="clear" w:color="auto" w:fill="CCEEFF"/>
          </w:tcPr>
          <w:p>
            <w:pPr>
              <w:jc w:val="right"/>
              <w:ind w:right="57"/>
              <w:spacing w:after="0" w:line="83" w:lineRule="exact"/>
              <w:rPr>
                <w:sz w:val="20"/>
                <w:szCs w:val="20"/>
                <w:color w:val="auto"/>
              </w:rPr>
            </w:pPr>
            <w:r>
              <w:rPr>
                <w:rFonts w:ascii="Times New Roman" w:cs="Times New Roman" w:eastAsia="Times New Roman" w:hAnsi="Times New Roman"/>
                <w:sz w:val="9"/>
                <w:szCs w:val="9"/>
                <w:color w:val="auto"/>
              </w:rPr>
              <w:t>(40,407)</w:t>
            </w:r>
          </w:p>
        </w:tc>
        <w:tc>
          <w:tcPr>
            <w:tcW w:w="640" w:type="dxa"/>
            <w:vAlign w:val="bottom"/>
            <w:tcBorders>
              <w:top w:val="single" w:sz="8" w:color="auto"/>
              <w:bottom w:val="single" w:sz="8" w:color="auto"/>
            </w:tcBorders>
            <w:shd w:val="clear" w:color="auto" w:fill="CCEEFF"/>
          </w:tcPr>
          <w:p>
            <w:pPr>
              <w:spacing w:after="0"/>
              <w:rPr>
                <w:sz w:val="7"/>
                <w:szCs w:val="7"/>
                <w:color w:val="auto"/>
              </w:rPr>
            </w:pPr>
          </w:p>
        </w:tc>
        <w:tc>
          <w:tcPr>
            <w:tcW w:w="380" w:type="dxa"/>
            <w:vAlign w:val="bottom"/>
            <w:tcBorders>
              <w:top w:val="single" w:sz="8" w:color="auto"/>
              <w:bottom w:val="single" w:sz="8" w:color="auto"/>
            </w:tcBorders>
            <w:shd w:val="clear" w:color="auto" w:fill="CCEEFF"/>
          </w:tcPr>
          <w:p>
            <w:pPr>
              <w:jc w:val="right"/>
              <w:ind w:right="77"/>
              <w:spacing w:after="0" w:line="83" w:lineRule="exact"/>
              <w:rPr>
                <w:sz w:val="20"/>
                <w:szCs w:val="20"/>
                <w:color w:val="auto"/>
              </w:rPr>
            </w:pPr>
            <w:r>
              <w:rPr>
                <w:rFonts w:ascii="Times New Roman" w:cs="Times New Roman" w:eastAsia="Times New Roman" w:hAnsi="Times New Roman"/>
                <w:sz w:val="9"/>
                <w:szCs w:val="9"/>
                <w:color w:val="auto"/>
                <w:w w:val="91"/>
              </w:rPr>
              <w:t>(4,630)</w:t>
            </w:r>
          </w:p>
        </w:tc>
        <w:tc>
          <w:tcPr>
            <w:tcW w:w="180" w:type="dxa"/>
            <w:vAlign w:val="bottom"/>
            <w:tcBorders>
              <w:top w:val="single" w:sz="8" w:color="auto"/>
              <w:bottom w:val="single" w:sz="8" w:color="auto"/>
            </w:tcBorders>
            <w:shd w:val="clear" w:color="auto" w:fill="CCEEFF"/>
          </w:tcPr>
          <w:p>
            <w:pPr>
              <w:spacing w:after="0"/>
              <w:rPr>
                <w:sz w:val="7"/>
                <w:szCs w:val="7"/>
                <w:color w:val="auto"/>
              </w:rPr>
            </w:pPr>
          </w:p>
        </w:tc>
        <w:tc>
          <w:tcPr>
            <w:tcW w:w="880" w:type="dxa"/>
            <w:vAlign w:val="bottom"/>
            <w:tcBorders>
              <w:top w:val="single" w:sz="8" w:color="auto"/>
              <w:bottom w:val="single" w:sz="8" w:color="auto"/>
            </w:tcBorders>
            <w:shd w:val="clear" w:color="auto" w:fill="CCEEFF"/>
          </w:tcPr>
          <w:p>
            <w:pPr>
              <w:jc w:val="right"/>
              <w:ind w:right="17"/>
              <w:spacing w:after="0" w:line="83" w:lineRule="exact"/>
              <w:rPr>
                <w:sz w:val="20"/>
                <w:szCs w:val="20"/>
                <w:color w:val="auto"/>
              </w:rPr>
            </w:pPr>
            <w:r>
              <w:rPr>
                <w:rFonts w:ascii="Times New Roman" w:cs="Times New Roman" w:eastAsia="Times New Roman" w:hAnsi="Times New Roman"/>
                <w:sz w:val="9"/>
                <w:szCs w:val="9"/>
                <w:color w:val="auto"/>
              </w:rPr>
              <w:t>(12,062)</w:t>
            </w:r>
          </w:p>
        </w:tc>
        <w:tc>
          <w:tcPr>
            <w:tcW w:w="100" w:type="dxa"/>
            <w:vAlign w:val="bottom"/>
            <w:tcBorders>
              <w:top w:val="single" w:sz="8" w:color="auto"/>
              <w:bottom w:val="single" w:sz="8" w:color="auto"/>
            </w:tcBorders>
            <w:shd w:val="clear" w:color="auto" w:fill="CCEEFF"/>
          </w:tcPr>
          <w:p>
            <w:pPr>
              <w:spacing w:after="0"/>
              <w:rPr>
                <w:sz w:val="7"/>
                <w:szCs w:val="7"/>
                <w:color w:val="auto"/>
              </w:rPr>
            </w:pPr>
          </w:p>
        </w:tc>
        <w:tc>
          <w:tcPr>
            <w:tcW w:w="86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(950)</w:t>
            </w:r>
          </w:p>
        </w:tc>
        <w:tc>
          <w:tcPr>
            <w:tcW w:w="100" w:type="dxa"/>
            <w:vAlign w:val="bottom"/>
            <w:tcBorders>
              <w:top w:val="single" w:sz="8" w:color="auto"/>
              <w:bottom w:val="single" w:sz="8" w:color="auto"/>
            </w:tcBorders>
            <w:shd w:val="clear" w:color="auto" w:fill="CCEEFF"/>
          </w:tcPr>
          <w:p>
            <w:pPr>
              <w:spacing w:after="0"/>
              <w:rPr>
                <w:sz w:val="7"/>
                <w:szCs w:val="7"/>
                <w:color w:val="auto"/>
              </w:rPr>
            </w:pPr>
          </w:p>
        </w:tc>
        <w:tc>
          <w:tcPr>
            <w:tcW w:w="70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(13,012)</w:t>
            </w:r>
          </w:p>
        </w:tc>
        <w:tc>
          <w:tcPr>
            <w:tcW w:w="20" w:type="dxa"/>
            <w:vAlign w:val="bottom"/>
          </w:tcPr>
          <w:p>
            <w:pPr>
              <w:spacing w:after="0"/>
              <w:rPr>
                <w:sz w:val="7"/>
                <w:szCs w:val="7"/>
                <w:color w:val="auto"/>
              </w:rPr>
            </w:pPr>
          </w:p>
        </w:tc>
      </w:tr>
    </w:tbl>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06"/>
        </w:trPr>
        <w:tc>
          <w:tcPr>
            <w:tcW w:w="25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center"/>
              <w:ind w:right="257"/>
              <w:spacing w:after="0"/>
              <w:rPr>
                <w:sz w:val="20"/>
                <w:szCs w:val="20"/>
                <w:color w:val="auto"/>
              </w:rPr>
            </w:pPr>
            <w:r>
              <w:rPr>
                <w:rFonts w:ascii="Times New Roman" w:cs="Times New Roman" w:eastAsia="Times New Roman" w:hAnsi="Times New Roman"/>
                <w:sz w:val="9"/>
                <w:szCs w:val="9"/>
                <w:b w:val="1"/>
                <w:bCs w:val="1"/>
                <w:color w:val="auto"/>
                <w:w w:val="98"/>
              </w:rPr>
              <w:t>Retained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9"/>
                <w:szCs w:val="9"/>
                <w:b w:val="1"/>
                <w:bCs w:val="1"/>
                <w:color w:val="auto"/>
                <w:w w:val="94"/>
              </w:rPr>
              <w:t>Accumulated</w:t>
            </w: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jc w:val="center"/>
              <w:ind w:right="317"/>
              <w:spacing w:after="0"/>
              <w:rPr>
                <w:sz w:val="20"/>
                <w:szCs w:val="20"/>
                <w:color w:val="auto"/>
              </w:rPr>
            </w:pPr>
            <w:r>
              <w:rPr>
                <w:rFonts w:ascii="Times New Roman" w:cs="Times New Roman" w:eastAsia="Times New Roman" w:hAnsi="Times New Roman"/>
                <w:sz w:val="9"/>
                <w:szCs w:val="9"/>
                <w:b w:val="1"/>
                <w:bCs w:val="1"/>
                <w:color w:val="auto"/>
                <w:w w:val="99"/>
              </w:rPr>
              <w:t>Reading</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70"/>
        </w:trPr>
        <w:tc>
          <w:tcPr>
            <w:tcW w:w="25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auto"/>
              </w:rPr>
              <w:t>Class A</w:t>
            </w:r>
          </w:p>
        </w:tc>
        <w:tc>
          <w:tcPr>
            <w:tcW w:w="480" w:type="dxa"/>
            <w:vAlign w:val="bottom"/>
            <w:tcBorders>
              <w:right w:val="single" w:sz="8" w:color="auto"/>
            </w:tcBorders>
            <w:gridSpan w:val="2"/>
          </w:tcPr>
          <w:p>
            <w:pPr>
              <w:jc w:val="right"/>
              <w:ind w:right="77"/>
              <w:spacing w:after="0" w:line="70" w:lineRule="exact"/>
              <w:rPr>
                <w:sz w:val="20"/>
                <w:szCs w:val="20"/>
                <w:color w:val="auto"/>
              </w:rPr>
            </w:pPr>
            <w:r>
              <w:rPr>
                <w:rFonts w:ascii="Times New Roman" w:cs="Times New Roman" w:eastAsia="Times New Roman" w:hAnsi="Times New Roman"/>
                <w:sz w:val="8"/>
                <w:szCs w:val="8"/>
                <w:b w:val="1"/>
                <w:bCs w:val="1"/>
                <w:color w:val="auto"/>
              </w:rPr>
              <w:t>Class A</w:t>
            </w:r>
          </w:p>
        </w:tc>
        <w:tc>
          <w:tcPr>
            <w:tcW w:w="520" w:type="dxa"/>
            <w:vAlign w:val="bottom"/>
          </w:tcPr>
          <w:p>
            <w:pPr>
              <w:jc w:val="center"/>
              <w:ind w:left="158"/>
              <w:spacing w:after="0" w:line="70" w:lineRule="exact"/>
              <w:rPr>
                <w:sz w:val="20"/>
                <w:szCs w:val="20"/>
                <w:color w:val="auto"/>
              </w:rPr>
            </w:pPr>
            <w:r>
              <w:rPr>
                <w:rFonts w:ascii="Times New Roman" w:cs="Times New Roman" w:eastAsia="Times New Roman" w:hAnsi="Times New Roman"/>
                <w:sz w:val="8"/>
                <w:szCs w:val="8"/>
                <w:b w:val="1"/>
                <w:bCs w:val="1"/>
                <w:color w:val="auto"/>
              </w:rPr>
              <w:t>Class B</w:t>
            </w:r>
          </w:p>
        </w:tc>
        <w:tc>
          <w:tcPr>
            <w:tcW w:w="240" w:type="dxa"/>
            <w:vAlign w:val="bottom"/>
            <w:tcBorders>
              <w:right w:val="single" w:sz="8" w:color="auto"/>
            </w:tcBorders>
          </w:tcPr>
          <w:p>
            <w:pPr>
              <w:spacing w:after="0"/>
              <w:rPr>
                <w:sz w:val="6"/>
                <w:szCs w:val="6"/>
                <w:color w:val="auto"/>
              </w:rPr>
            </w:pPr>
          </w:p>
        </w:tc>
        <w:tc>
          <w:tcPr>
            <w:tcW w:w="520" w:type="dxa"/>
            <w:vAlign w:val="bottom"/>
            <w:tcBorders>
              <w:right w:val="single" w:sz="8" w:color="auto"/>
            </w:tcBorders>
            <w:gridSpan w:val="2"/>
          </w:tcPr>
          <w:p>
            <w:pPr>
              <w:jc w:val="right"/>
              <w:ind w:right="97"/>
              <w:spacing w:after="0" w:line="70" w:lineRule="exact"/>
              <w:rPr>
                <w:sz w:val="20"/>
                <w:szCs w:val="20"/>
                <w:color w:val="auto"/>
              </w:rPr>
            </w:pPr>
            <w:r>
              <w:rPr>
                <w:rFonts w:ascii="Times New Roman" w:cs="Times New Roman" w:eastAsia="Times New Roman" w:hAnsi="Times New Roman"/>
                <w:sz w:val="8"/>
                <w:szCs w:val="8"/>
                <w:b w:val="1"/>
                <w:bCs w:val="1"/>
                <w:color w:val="auto"/>
              </w:rPr>
              <w:t>Class B</w:t>
            </w:r>
          </w:p>
        </w:tc>
        <w:tc>
          <w:tcPr>
            <w:tcW w:w="140" w:type="dxa"/>
            <w:vAlign w:val="bottom"/>
          </w:tcPr>
          <w:p>
            <w:pPr>
              <w:spacing w:after="0"/>
              <w:rPr>
                <w:sz w:val="6"/>
                <w:szCs w:val="6"/>
                <w:color w:val="auto"/>
              </w:rPr>
            </w:pPr>
          </w:p>
        </w:tc>
        <w:tc>
          <w:tcPr>
            <w:tcW w:w="640" w:type="dxa"/>
            <w:vAlign w:val="bottom"/>
          </w:tcPr>
          <w:p>
            <w:pPr>
              <w:jc w:val="center"/>
              <w:ind w:right="117"/>
              <w:spacing w:after="0" w:line="70" w:lineRule="exact"/>
              <w:rPr>
                <w:sz w:val="20"/>
                <w:szCs w:val="20"/>
                <w:color w:val="auto"/>
              </w:rPr>
            </w:pPr>
            <w:r>
              <w:rPr>
                <w:rFonts w:ascii="Times New Roman" w:cs="Times New Roman" w:eastAsia="Times New Roman" w:hAnsi="Times New Roman"/>
                <w:sz w:val="8"/>
                <w:szCs w:val="8"/>
                <w:b w:val="1"/>
                <w:bCs w:val="1"/>
                <w:color w:val="auto"/>
              </w:rPr>
              <w:t>Additional</w:t>
            </w:r>
          </w:p>
        </w:tc>
        <w:tc>
          <w:tcPr>
            <w:tcW w:w="180" w:type="dxa"/>
            <w:vAlign w:val="bottom"/>
          </w:tcPr>
          <w:p>
            <w:pPr>
              <w:spacing w:after="0"/>
              <w:rPr>
                <w:sz w:val="6"/>
                <w:szCs w:val="6"/>
                <w:color w:val="auto"/>
              </w:rPr>
            </w:pPr>
          </w:p>
        </w:tc>
        <w:tc>
          <w:tcPr>
            <w:tcW w:w="680" w:type="dxa"/>
            <w:vAlign w:val="bottom"/>
          </w:tcPr>
          <w:p>
            <w:pPr>
              <w:jc w:val="center"/>
              <w:ind w:right="257"/>
              <w:spacing w:after="0" w:line="70" w:lineRule="exact"/>
              <w:rPr>
                <w:sz w:val="20"/>
                <w:szCs w:val="20"/>
                <w:color w:val="auto"/>
              </w:rPr>
            </w:pPr>
            <w:r>
              <w:rPr>
                <w:rFonts w:ascii="Times New Roman" w:cs="Times New Roman" w:eastAsia="Times New Roman" w:hAnsi="Times New Roman"/>
                <w:sz w:val="8"/>
                <w:szCs w:val="8"/>
                <w:b w:val="1"/>
                <w:bCs w:val="1"/>
                <w:color w:val="auto"/>
              </w:rPr>
              <w:t>Earnings</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ind w:left="280"/>
              <w:spacing w:after="0" w:line="70" w:lineRule="exact"/>
              <w:rPr>
                <w:sz w:val="20"/>
                <w:szCs w:val="20"/>
                <w:color w:val="auto"/>
              </w:rPr>
            </w:pPr>
            <w:r>
              <w:rPr>
                <w:rFonts w:ascii="Times New Roman" w:cs="Times New Roman" w:eastAsia="Times New Roman" w:hAnsi="Times New Roman"/>
                <w:sz w:val="8"/>
                <w:szCs w:val="8"/>
                <w:b w:val="1"/>
                <w:bCs w:val="1"/>
                <w:color w:val="auto"/>
              </w:rPr>
              <w:t>Other</w:t>
            </w:r>
          </w:p>
        </w:tc>
        <w:tc>
          <w:tcPr>
            <w:tcW w:w="380" w:type="dxa"/>
            <w:vAlign w:val="bottom"/>
          </w:tcPr>
          <w:p>
            <w:pPr>
              <w:spacing w:after="0"/>
              <w:rPr>
                <w:sz w:val="6"/>
                <w:szCs w:val="6"/>
                <w:color w:val="auto"/>
              </w:rPr>
            </w:pPr>
          </w:p>
        </w:tc>
        <w:tc>
          <w:tcPr>
            <w:tcW w:w="1060" w:type="dxa"/>
            <w:vAlign w:val="bottom"/>
            <w:gridSpan w:val="2"/>
          </w:tcPr>
          <w:p>
            <w:pPr>
              <w:jc w:val="center"/>
              <w:ind w:right="157"/>
              <w:spacing w:after="0" w:line="70" w:lineRule="exact"/>
              <w:rPr>
                <w:sz w:val="20"/>
                <w:szCs w:val="20"/>
                <w:color w:val="auto"/>
              </w:rPr>
            </w:pPr>
            <w:r>
              <w:rPr>
                <w:rFonts w:ascii="Times New Roman" w:cs="Times New Roman" w:eastAsia="Times New Roman" w:hAnsi="Times New Roman"/>
                <w:sz w:val="8"/>
                <w:szCs w:val="8"/>
                <w:b w:val="1"/>
                <w:bCs w:val="1"/>
                <w:color w:val="auto"/>
              </w:rPr>
              <w:t>International Inc.</w:t>
            </w: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tcPr>
          <w:p>
            <w:pPr>
              <w:jc w:val="center"/>
              <w:ind w:right="180"/>
              <w:spacing w:after="0" w:line="70" w:lineRule="exact"/>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3"/>
        </w:trPr>
        <w:tc>
          <w:tcPr>
            <w:tcW w:w="256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jc w:val="center"/>
              <w:spacing w:after="0" w:line="94" w:lineRule="exact"/>
              <w:rPr>
                <w:sz w:val="20"/>
                <w:szCs w:val="20"/>
                <w:color w:val="auto"/>
              </w:rPr>
            </w:pPr>
            <w:r>
              <w:rPr>
                <w:rFonts w:ascii="Times New Roman" w:cs="Times New Roman" w:eastAsia="Times New Roman" w:hAnsi="Times New Roman"/>
                <w:sz w:val="9"/>
                <w:szCs w:val="9"/>
                <w:b w:val="1"/>
                <w:bCs w:val="1"/>
                <w:color w:val="auto"/>
                <w:w w:val="93"/>
              </w:rPr>
              <w:t>Non-Voting</w:t>
            </w:r>
          </w:p>
        </w:tc>
        <w:tc>
          <w:tcPr>
            <w:tcW w:w="480" w:type="dxa"/>
            <w:vAlign w:val="bottom"/>
            <w:tcBorders>
              <w:right w:val="single" w:sz="8" w:color="auto"/>
            </w:tcBorders>
            <w:gridSpan w:val="2"/>
          </w:tcPr>
          <w:p>
            <w:pPr>
              <w:jc w:val="right"/>
              <w:ind w:right="137"/>
              <w:spacing w:after="0" w:line="94" w:lineRule="exact"/>
              <w:rPr>
                <w:sz w:val="20"/>
                <w:szCs w:val="20"/>
                <w:color w:val="auto"/>
              </w:rPr>
            </w:pPr>
            <w:r>
              <w:rPr>
                <w:rFonts w:ascii="Times New Roman" w:cs="Times New Roman" w:eastAsia="Times New Roman" w:hAnsi="Times New Roman"/>
                <w:sz w:val="9"/>
                <w:szCs w:val="9"/>
                <w:b w:val="1"/>
                <w:bCs w:val="1"/>
                <w:color w:val="auto"/>
              </w:rPr>
              <w:t>Par</w:t>
            </w:r>
          </w:p>
        </w:tc>
        <w:tc>
          <w:tcPr>
            <w:tcW w:w="520" w:type="dxa"/>
            <w:vAlign w:val="bottom"/>
          </w:tcPr>
          <w:p>
            <w:pPr>
              <w:jc w:val="center"/>
              <w:ind w:left="158"/>
              <w:spacing w:after="0" w:line="94" w:lineRule="exact"/>
              <w:rPr>
                <w:sz w:val="20"/>
                <w:szCs w:val="20"/>
                <w:color w:val="auto"/>
              </w:rPr>
            </w:pPr>
            <w:r>
              <w:rPr>
                <w:rFonts w:ascii="Times New Roman" w:cs="Times New Roman" w:eastAsia="Times New Roman" w:hAnsi="Times New Roman"/>
                <w:sz w:val="9"/>
                <w:szCs w:val="9"/>
                <w:b w:val="1"/>
                <w:bCs w:val="1"/>
                <w:color w:val="auto"/>
                <w:w w:val="92"/>
              </w:rPr>
              <w:t>Voting</w:t>
            </w:r>
          </w:p>
        </w:tc>
        <w:tc>
          <w:tcPr>
            <w:tcW w:w="24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right w:val="single" w:sz="8" w:color="auto"/>
            </w:tcBorders>
          </w:tcPr>
          <w:p>
            <w:pPr>
              <w:jc w:val="right"/>
              <w:ind w:right="157"/>
              <w:spacing w:after="0" w:line="94" w:lineRule="exact"/>
              <w:rPr>
                <w:sz w:val="20"/>
                <w:szCs w:val="20"/>
                <w:color w:val="auto"/>
              </w:rPr>
            </w:pPr>
            <w:r>
              <w:rPr>
                <w:rFonts w:ascii="Times New Roman" w:cs="Times New Roman" w:eastAsia="Times New Roman" w:hAnsi="Times New Roman"/>
                <w:sz w:val="9"/>
                <w:szCs w:val="9"/>
                <w:b w:val="1"/>
                <w:bCs w:val="1"/>
                <w:color w:val="auto"/>
                <w:w w:val="99"/>
              </w:rPr>
              <w:t>Par</w:t>
            </w:r>
          </w:p>
        </w:tc>
        <w:tc>
          <w:tcPr>
            <w:tcW w:w="140" w:type="dxa"/>
            <w:vAlign w:val="bottom"/>
          </w:tcPr>
          <w:p>
            <w:pPr>
              <w:spacing w:after="0"/>
              <w:rPr>
                <w:sz w:val="8"/>
                <w:szCs w:val="8"/>
                <w:color w:val="auto"/>
              </w:rPr>
            </w:pPr>
          </w:p>
        </w:tc>
        <w:tc>
          <w:tcPr>
            <w:tcW w:w="640" w:type="dxa"/>
            <w:vAlign w:val="bottom"/>
          </w:tcPr>
          <w:p>
            <w:pPr>
              <w:jc w:val="center"/>
              <w:ind w:right="117"/>
              <w:spacing w:after="0" w:line="94" w:lineRule="exact"/>
              <w:rPr>
                <w:sz w:val="20"/>
                <w:szCs w:val="20"/>
                <w:color w:val="auto"/>
              </w:rPr>
            </w:pPr>
            <w:r>
              <w:rPr>
                <w:rFonts w:ascii="Times New Roman" w:cs="Times New Roman" w:eastAsia="Times New Roman" w:hAnsi="Times New Roman"/>
                <w:sz w:val="9"/>
                <w:szCs w:val="9"/>
                <w:b w:val="1"/>
                <w:bCs w:val="1"/>
                <w:color w:val="auto"/>
                <w:w w:val="96"/>
              </w:rPr>
              <w:t>Paid-In</w:t>
            </w:r>
          </w:p>
        </w:tc>
        <w:tc>
          <w:tcPr>
            <w:tcW w:w="860" w:type="dxa"/>
            <w:vAlign w:val="bottom"/>
            <w:gridSpan w:val="2"/>
          </w:tcPr>
          <w:p>
            <w:pPr>
              <w:jc w:val="center"/>
              <w:ind w:right="97"/>
              <w:spacing w:after="0" w:line="94" w:lineRule="exact"/>
              <w:rPr>
                <w:sz w:val="20"/>
                <w:szCs w:val="20"/>
                <w:color w:val="auto"/>
              </w:rPr>
            </w:pPr>
            <w:r>
              <w:rPr>
                <w:rFonts w:ascii="Times New Roman" w:cs="Times New Roman" w:eastAsia="Times New Roman" w:hAnsi="Times New Roman"/>
                <w:sz w:val="9"/>
                <w:szCs w:val="9"/>
                <w:b w:val="1"/>
                <w:bCs w:val="1"/>
                <w:color w:val="auto"/>
                <w:w w:val="96"/>
              </w:rPr>
              <w:t>(Accumulated</w:t>
            </w:r>
          </w:p>
        </w:tc>
        <w:tc>
          <w:tcPr>
            <w:tcW w:w="100" w:type="dxa"/>
            <w:vAlign w:val="bottom"/>
          </w:tcPr>
          <w:p>
            <w:pPr>
              <w:spacing w:after="0"/>
              <w:rPr>
                <w:sz w:val="8"/>
                <w:szCs w:val="8"/>
                <w:color w:val="auto"/>
              </w:rPr>
            </w:pPr>
          </w:p>
        </w:tc>
        <w:tc>
          <w:tcPr>
            <w:tcW w:w="640" w:type="dxa"/>
            <w:vAlign w:val="bottom"/>
          </w:tcPr>
          <w:p>
            <w:pPr>
              <w:jc w:val="right"/>
              <w:ind w:right="217"/>
              <w:spacing w:after="0" w:line="94" w:lineRule="exact"/>
              <w:rPr>
                <w:sz w:val="20"/>
                <w:szCs w:val="20"/>
                <w:color w:val="auto"/>
              </w:rPr>
            </w:pPr>
            <w:r>
              <w:rPr>
                <w:rFonts w:ascii="Times New Roman" w:cs="Times New Roman" w:eastAsia="Times New Roman" w:hAnsi="Times New Roman"/>
                <w:sz w:val="9"/>
                <w:szCs w:val="9"/>
                <w:b w:val="1"/>
                <w:bCs w:val="1"/>
                <w:color w:val="auto"/>
              </w:rPr>
              <w:t>Treasury</w:t>
            </w:r>
          </w:p>
        </w:tc>
        <w:tc>
          <w:tcPr>
            <w:tcW w:w="1020" w:type="dxa"/>
            <w:vAlign w:val="bottom"/>
            <w:gridSpan w:val="2"/>
          </w:tcPr>
          <w:p>
            <w:pPr>
              <w:jc w:val="right"/>
              <w:ind w:right="297"/>
              <w:spacing w:after="0" w:line="94"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180" w:type="dxa"/>
            <w:vAlign w:val="bottom"/>
          </w:tcPr>
          <w:p>
            <w:pPr>
              <w:spacing w:after="0"/>
              <w:rPr>
                <w:sz w:val="8"/>
                <w:szCs w:val="8"/>
                <w:color w:val="auto"/>
              </w:rPr>
            </w:pPr>
          </w:p>
        </w:tc>
        <w:tc>
          <w:tcPr>
            <w:tcW w:w="880" w:type="dxa"/>
            <w:vAlign w:val="bottom"/>
          </w:tcPr>
          <w:p>
            <w:pPr>
              <w:jc w:val="center"/>
              <w:ind w:right="317"/>
              <w:spacing w:after="0" w:line="94" w:lineRule="exact"/>
              <w:rPr>
                <w:sz w:val="20"/>
                <w:szCs w:val="20"/>
                <w:color w:val="auto"/>
              </w:rPr>
            </w:pPr>
            <w:r>
              <w:rPr>
                <w:rFonts w:ascii="Times New Roman" w:cs="Times New Roman" w:eastAsia="Times New Roman" w:hAnsi="Times New Roman"/>
                <w:sz w:val="9"/>
                <w:szCs w:val="9"/>
                <w:b w:val="1"/>
                <w:bCs w:val="1"/>
                <w:color w:val="auto"/>
                <w:w w:val="98"/>
              </w:rPr>
              <w:t>Stockholders’</w:t>
            </w:r>
          </w:p>
        </w:tc>
        <w:tc>
          <w:tcPr>
            <w:tcW w:w="100" w:type="dxa"/>
            <w:vAlign w:val="bottom"/>
          </w:tcPr>
          <w:p>
            <w:pPr>
              <w:spacing w:after="0"/>
              <w:rPr>
                <w:sz w:val="8"/>
                <w:szCs w:val="8"/>
                <w:color w:val="auto"/>
              </w:rPr>
            </w:pPr>
          </w:p>
        </w:tc>
        <w:tc>
          <w:tcPr>
            <w:tcW w:w="860" w:type="dxa"/>
            <w:vAlign w:val="bottom"/>
          </w:tcPr>
          <w:p>
            <w:pPr>
              <w:jc w:val="right"/>
              <w:ind w:right="217"/>
              <w:spacing w:after="0" w:line="94" w:lineRule="exact"/>
              <w:rPr>
                <w:sz w:val="20"/>
                <w:szCs w:val="20"/>
                <w:color w:val="auto"/>
              </w:rPr>
            </w:pPr>
            <w:r>
              <w:rPr>
                <w:rFonts w:ascii="Times New Roman" w:cs="Times New Roman" w:eastAsia="Times New Roman" w:hAnsi="Times New Roman"/>
                <w:sz w:val="9"/>
                <w:szCs w:val="9"/>
                <w:b w:val="1"/>
                <w:bCs w:val="1"/>
                <w:color w:val="auto"/>
                <w:w w:val="99"/>
              </w:rPr>
              <w:t>Noncontrolling</w:t>
            </w:r>
          </w:p>
        </w:tc>
        <w:tc>
          <w:tcPr>
            <w:tcW w:w="100" w:type="dxa"/>
            <w:vAlign w:val="bottom"/>
          </w:tcPr>
          <w:p>
            <w:pPr>
              <w:spacing w:after="0"/>
              <w:rPr>
                <w:sz w:val="8"/>
                <w:szCs w:val="8"/>
                <w:color w:val="auto"/>
              </w:rPr>
            </w:pPr>
          </w:p>
        </w:tc>
        <w:tc>
          <w:tcPr>
            <w:tcW w:w="720" w:type="dxa"/>
            <w:vAlign w:val="bottom"/>
            <w:gridSpan w:val="2"/>
          </w:tcPr>
          <w:p>
            <w:pPr>
              <w:jc w:val="center"/>
              <w:ind w:right="160"/>
              <w:spacing w:after="0" w:line="94" w:lineRule="exact"/>
              <w:rPr>
                <w:sz w:val="20"/>
                <w:szCs w:val="20"/>
                <w:color w:val="auto"/>
              </w:rPr>
            </w:pPr>
            <w:r>
              <w:rPr>
                <w:rFonts w:ascii="Times New Roman" w:cs="Times New Roman" w:eastAsia="Times New Roman" w:hAnsi="Times New Roman"/>
                <w:sz w:val="9"/>
                <w:szCs w:val="9"/>
                <w:b w:val="1"/>
                <w:bCs w:val="1"/>
                <w:color w:val="auto"/>
                <w:w w:val="98"/>
              </w:rPr>
              <w:t>Stockholders’</w:t>
            </w:r>
          </w:p>
        </w:tc>
      </w:tr>
      <w:tr>
        <w:trPr>
          <w:trHeight w:val="106"/>
        </w:trPr>
        <w:tc>
          <w:tcPr>
            <w:tcW w:w="2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9"/>
                <w:szCs w:val="9"/>
                <w:i w:val="1"/>
                <w:iCs w:val="1"/>
                <w:color w:val="auto"/>
              </w:rPr>
              <w:t>(Dollars in thousands, except shares)</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2"/>
              </w:rPr>
              <w:t>Shares</w:t>
            </w:r>
          </w:p>
        </w:tc>
        <w:tc>
          <w:tcPr>
            <w:tcW w:w="4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9"/>
                <w:szCs w:val="9"/>
                <w:b w:val="1"/>
                <w:bCs w:val="1"/>
                <w:color w:val="auto"/>
              </w:rPr>
              <w:t>Value</w:t>
            </w:r>
          </w:p>
        </w:tc>
        <w:tc>
          <w:tcPr>
            <w:tcW w:w="520" w:type="dxa"/>
            <w:vAlign w:val="bottom"/>
          </w:tcPr>
          <w:p>
            <w:pPr>
              <w:jc w:val="center"/>
              <w:ind w:left="198"/>
              <w:spacing w:after="0"/>
              <w:rPr>
                <w:sz w:val="20"/>
                <w:szCs w:val="20"/>
                <w:color w:val="auto"/>
              </w:rPr>
            </w:pPr>
            <w:r>
              <w:rPr>
                <w:rFonts w:ascii="Times New Roman" w:cs="Times New Roman" w:eastAsia="Times New Roman" w:hAnsi="Times New Roman"/>
                <w:sz w:val="9"/>
                <w:szCs w:val="9"/>
                <w:b w:val="1"/>
                <w:bCs w:val="1"/>
                <w:color w:val="auto"/>
                <w:w w:val="92"/>
              </w:rPr>
              <w:t>Shares</w:t>
            </w:r>
          </w:p>
        </w:tc>
        <w:tc>
          <w:tcPr>
            <w:tcW w:w="2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gridSpan w:val="2"/>
          </w:tcPr>
          <w:p>
            <w:pPr>
              <w:jc w:val="right"/>
              <w:ind w:right="117"/>
              <w:spacing w:after="0"/>
              <w:rPr>
                <w:sz w:val="20"/>
                <w:szCs w:val="20"/>
                <w:color w:val="auto"/>
              </w:rPr>
            </w:pPr>
            <w:r>
              <w:rPr>
                <w:rFonts w:ascii="Times New Roman" w:cs="Times New Roman" w:eastAsia="Times New Roman" w:hAnsi="Times New Roman"/>
                <w:sz w:val="9"/>
                <w:szCs w:val="9"/>
                <w:b w:val="1"/>
                <w:bCs w:val="1"/>
                <w:color w:val="auto"/>
              </w:rPr>
              <w:t>Value</w:t>
            </w:r>
          </w:p>
        </w:tc>
        <w:tc>
          <w:tcPr>
            <w:tcW w:w="140" w:type="dxa"/>
            <w:vAlign w:val="bottom"/>
          </w:tcPr>
          <w:p>
            <w:pPr>
              <w:spacing w:after="0"/>
              <w:rPr>
                <w:sz w:val="9"/>
                <w:szCs w:val="9"/>
                <w:color w:val="auto"/>
              </w:rPr>
            </w:pPr>
          </w:p>
        </w:tc>
        <w:tc>
          <w:tcPr>
            <w:tcW w:w="640" w:type="dxa"/>
            <w:vAlign w:val="bottom"/>
          </w:tcPr>
          <w:p>
            <w:pPr>
              <w:jc w:val="center"/>
              <w:ind w:right="117"/>
              <w:spacing w:after="0"/>
              <w:rPr>
                <w:sz w:val="20"/>
                <w:szCs w:val="20"/>
                <w:color w:val="auto"/>
              </w:rPr>
            </w:pPr>
            <w:r>
              <w:rPr>
                <w:rFonts w:ascii="Times New Roman" w:cs="Times New Roman" w:eastAsia="Times New Roman" w:hAnsi="Times New Roman"/>
                <w:sz w:val="9"/>
                <w:szCs w:val="9"/>
                <w:b w:val="1"/>
                <w:bCs w:val="1"/>
                <w:color w:val="auto"/>
                <w:w w:val="98"/>
              </w:rPr>
              <w:t>Capital</w:t>
            </w:r>
          </w:p>
        </w:tc>
        <w:tc>
          <w:tcPr>
            <w:tcW w:w="180" w:type="dxa"/>
            <w:vAlign w:val="bottom"/>
          </w:tcPr>
          <w:p>
            <w:pPr>
              <w:spacing w:after="0"/>
              <w:rPr>
                <w:sz w:val="9"/>
                <w:szCs w:val="9"/>
                <w:color w:val="auto"/>
              </w:rPr>
            </w:pPr>
          </w:p>
        </w:tc>
        <w:tc>
          <w:tcPr>
            <w:tcW w:w="680" w:type="dxa"/>
            <w:vAlign w:val="bottom"/>
          </w:tcPr>
          <w:p>
            <w:pPr>
              <w:jc w:val="center"/>
              <w:ind w:right="237"/>
              <w:spacing w:after="0"/>
              <w:rPr>
                <w:sz w:val="20"/>
                <w:szCs w:val="20"/>
                <w:color w:val="auto"/>
              </w:rPr>
            </w:pPr>
            <w:r>
              <w:rPr>
                <w:rFonts w:ascii="Times New Roman" w:cs="Times New Roman" w:eastAsia="Times New Roman" w:hAnsi="Times New Roman"/>
                <w:sz w:val="9"/>
                <w:szCs w:val="9"/>
                <w:b w:val="1"/>
                <w:bCs w:val="1"/>
                <w:color w:val="auto"/>
                <w:w w:val="98"/>
              </w:rPr>
              <w:t>Deficit)</w:t>
            </w:r>
          </w:p>
        </w:tc>
        <w:tc>
          <w:tcPr>
            <w:tcW w:w="100" w:type="dxa"/>
            <w:vAlign w:val="bottom"/>
          </w:tcPr>
          <w:p>
            <w:pPr>
              <w:spacing w:after="0"/>
              <w:rPr>
                <w:sz w:val="9"/>
                <w:szCs w:val="9"/>
                <w:color w:val="auto"/>
              </w:rPr>
            </w:pPr>
          </w:p>
        </w:tc>
        <w:tc>
          <w:tcPr>
            <w:tcW w:w="640" w:type="dxa"/>
            <w:vAlign w:val="bottom"/>
          </w:tcPr>
          <w:p>
            <w:pPr>
              <w:jc w:val="right"/>
              <w:ind w:right="257"/>
              <w:spacing w:after="0"/>
              <w:rPr>
                <w:sz w:val="20"/>
                <w:szCs w:val="20"/>
                <w:color w:val="auto"/>
              </w:rPr>
            </w:pPr>
            <w:r>
              <w:rPr>
                <w:rFonts w:ascii="Times New Roman" w:cs="Times New Roman" w:eastAsia="Times New Roman" w:hAnsi="Times New Roman"/>
                <w:sz w:val="9"/>
                <w:szCs w:val="9"/>
                <w:b w:val="1"/>
                <w:bCs w:val="1"/>
                <w:color w:val="auto"/>
              </w:rPr>
              <w:t>Shares</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9"/>
                <w:szCs w:val="9"/>
                <w:b w:val="1"/>
                <w:bCs w:val="1"/>
                <w:color w:val="auto"/>
              </w:rPr>
              <w:t>Income (Loss)</w:t>
            </w:r>
          </w:p>
        </w:tc>
        <w:tc>
          <w:tcPr>
            <w:tcW w:w="180" w:type="dxa"/>
            <w:vAlign w:val="bottom"/>
          </w:tcPr>
          <w:p>
            <w:pPr>
              <w:spacing w:after="0"/>
              <w:rPr>
                <w:sz w:val="9"/>
                <w:szCs w:val="9"/>
                <w:color w:val="auto"/>
              </w:rPr>
            </w:pPr>
          </w:p>
        </w:tc>
        <w:tc>
          <w:tcPr>
            <w:tcW w:w="880" w:type="dxa"/>
            <w:vAlign w:val="bottom"/>
          </w:tcPr>
          <w:p>
            <w:pPr>
              <w:jc w:val="center"/>
              <w:ind w:right="317"/>
              <w:spacing w:after="0"/>
              <w:rPr>
                <w:sz w:val="20"/>
                <w:szCs w:val="20"/>
                <w:color w:val="auto"/>
              </w:rPr>
            </w:pPr>
            <w:r>
              <w:rPr>
                <w:rFonts w:ascii="Times New Roman" w:cs="Times New Roman" w:eastAsia="Times New Roman" w:hAnsi="Times New Roman"/>
                <w:sz w:val="9"/>
                <w:szCs w:val="9"/>
                <w:b w:val="1"/>
                <w:bCs w:val="1"/>
                <w:color w:val="auto"/>
                <w:w w:val="92"/>
              </w:rPr>
              <w:t>Equity</w:t>
            </w:r>
          </w:p>
        </w:tc>
        <w:tc>
          <w:tcPr>
            <w:tcW w:w="100" w:type="dxa"/>
            <w:vAlign w:val="bottom"/>
          </w:tcPr>
          <w:p>
            <w:pPr>
              <w:spacing w:after="0"/>
              <w:rPr>
                <w:sz w:val="9"/>
                <w:szCs w:val="9"/>
                <w:color w:val="auto"/>
              </w:rPr>
            </w:pPr>
          </w:p>
        </w:tc>
        <w:tc>
          <w:tcPr>
            <w:tcW w:w="860" w:type="dxa"/>
            <w:vAlign w:val="bottom"/>
          </w:tcPr>
          <w:p>
            <w:pPr>
              <w:jc w:val="right"/>
              <w:ind w:right="317"/>
              <w:spacing w:after="0"/>
              <w:rPr>
                <w:sz w:val="20"/>
                <w:szCs w:val="20"/>
                <w:color w:val="auto"/>
              </w:rPr>
            </w:pPr>
            <w:r>
              <w:rPr>
                <w:rFonts w:ascii="Times New Roman" w:cs="Times New Roman" w:eastAsia="Times New Roman" w:hAnsi="Times New Roman"/>
                <w:sz w:val="9"/>
                <w:szCs w:val="9"/>
                <w:b w:val="1"/>
                <w:bCs w:val="1"/>
                <w:color w:val="auto"/>
              </w:rPr>
              <w:t>Interests</w:t>
            </w:r>
          </w:p>
        </w:tc>
        <w:tc>
          <w:tcPr>
            <w:tcW w:w="100" w:type="dxa"/>
            <w:vAlign w:val="bottom"/>
          </w:tcPr>
          <w:p>
            <w:pPr>
              <w:spacing w:after="0"/>
              <w:rPr>
                <w:sz w:val="9"/>
                <w:szCs w:val="9"/>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9"/>
              </w:rPr>
              <w:t>Equity</w:t>
            </w:r>
          </w:p>
        </w:tc>
      </w:tr>
      <w:tr>
        <w:trPr>
          <w:trHeight w:val="82"/>
        </w:trPr>
        <w:tc>
          <w:tcPr>
            <w:tcW w:w="2560" w:type="dxa"/>
            <w:vAlign w:val="bottom"/>
            <w:tcBorders>
              <w:top w:val="single" w:sz="8" w:color="auto"/>
              <w:bottom w:val="single" w:sz="8" w:color="auto"/>
              <w:right w:val="single" w:sz="8" w:color="auto"/>
            </w:tcBorders>
            <w:shd w:val="clear" w:color="auto" w:fill="CCEEFF"/>
          </w:tcPr>
          <w:p>
            <w:pPr>
              <w:spacing w:after="0" w:line="83" w:lineRule="exact"/>
              <w:rPr>
                <w:sz w:val="20"/>
                <w:szCs w:val="20"/>
                <w:color w:val="auto"/>
              </w:rPr>
            </w:pPr>
            <w:r>
              <w:rPr>
                <w:rFonts w:ascii="Times New Roman" w:cs="Times New Roman" w:eastAsia="Times New Roman" w:hAnsi="Times New Roman"/>
                <w:sz w:val="9"/>
                <w:szCs w:val="9"/>
                <w:color w:val="auto"/>
              </w:rPr>
              <w:t>At January 1, 2024</w:t>
            </w:r>
          </w:p>
        </w:tc>
        <w:tc>
          <w:tcPr>
            <w:tcW w:w="760" w:type="dxa"/>
            <w:vAlign w:val="bottom"/>
            <w:tcBorders>
              <w:top w:val="single" w:sz="8" w:color="auto"/>
              <w:bottom w:val="single" w:sz="8" w:color="auto"/>
              <w:right w:val="single" w:sz="8" w:color="CCEEFF"/>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20,664</w:t>
            </w:r>
          </w:p>
        </w:tc>
        <w:tc>
          <w:tcPr>
            <w:tcW w:w="180" w:type="dxa"/>
            <w:vAlign w:val="bottom"/>
            <w:tcBorders>
              <w:top w:val="single" w:sz="8" w:color="auto"/>
              <w:bottom w:val="single" w:sz="8" w:color="auto"/>
            </w:tcBorders>
            <w:shd w:val="clear" w:color="auto" w:fill="CCEEFF"/>
          </w:tcPr>
          <w:p>
            <w:pPr>
              <w:ind w:left="120"/>
              <w:spacing w:after="0" w:line="83" w:lineRule="exact"/>
              <w:rPr>
                <w:sz w:val="20"/>
                <w:szCs w:val="20"/>
                <w:color w:val="auto"/>
              </w:rPr>
            </w:pPr>
            <w:r>
              <w:rPr>
                <w:rFonts w:ascii="Times New Roman" w:cs="Times New Roman" w:eastAsia="Times New Roman" w:hAnsi="Times New Roman"/>
                <w:sz w:val="9"/>
                <w:szCs w:val="9"/>
                <w:color w:val="auto"/>
                <w:w w:val="87"/>
              </w:rPr>
              <w:t>$</w:t>
            </w:r>
          </w:p>
        </w:tc>
        <w:tc>
          <w:tcPr>
            <w:tcW w:w="300" w:type="dxa"/>
            <w:vAlign w:val="bottom"/>
            <w:tcBorders>
              <w:top w:val="single" w:sz="8" w:color="auto"/>
              <w:bottom w:val="single" w:sz="8" w:color="auto"/>
              <w:right w:val="single" w:sz="8" w:color="auto"/>
            </w:tcBorders>
            <w:shd w:val="clear" w:color="auto" w:fill="CCEEFF"/>
          </w:tcPr>
          <w:p>
            <w:pPr>
              <w:jc w:val="right"/>
              <w:ind w:right="37"/>
              <w:spacing w:after="0" w:line="83" w:lineRule="exact"/>
              <w:rPr>
                <w:sz w:val="20"/>
                <w:szCs w:val="20"/>
                <w:color w:val="auto"/>
              </w:rPr>
            </w:pPr>
            <w:r>
              <w:rPr>
                <w:rFonts w:ascii="Times New Roman" w:cs="Times New Roman" w:eastAsia="Times New Roman" w:hAnsi="Times New Roman"/>
                <w:sz w:val="9"/>
                <w:szCs w:val="9"/>
                <w:color w:val="auto"/>
              </w:rPr>
              <w:t>237</w:t>
            </w:r>
          </w:p>
        </w:tc>
        <w:tc>
          <w:tcPr>
            <w:tcW w:w="520" w:type="dxa"/>
            <w:vAlign w:val="bottom"/>
            <w:tcBorders>
              <w:top w:val="single" w:sz="8" w:color="auto"/>
              <w:bottom w:val="single" w:sz="8" w:color="auto"/>
            </w:tcBorders>
            <w:shd w:val="clear" w:color="auto" w:fill="CCEEFF"/>
          </w:tcPr>
          <w:p>
            <w:pPr>
              <w:spacing w:after="0"/>
              <w:rPr>
                <w:sz w:val="7"/>
                <w:szCs w:val="7"/>
                <w:color w:val="auto"/>
              </w:rPr>
            </w:pPr>
          </w:p>
        </w:tc>
        <w:tc>
          <w:tcPr>
            <w:tcW w:w="240" w:type="dxa"/>
            <w:vAlign w:val="bottom"/>
            <w:tcBorders>
              <w:top w:val="single" w:sz="8" w:color="auto"/>
              <w:bottom w:val="single" w:sz="8" w:color="auto"/>
              <w:right w:val="single" w:sz="8" w:color="CCEEFF"/>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w w:val="98"/>
              </w:rPr>
              <w:t>1,681</w:t>
            </w:r>
          </w:p>
        </w:tc>
        <w:tc>
          <w:tcPr>
            <w:tcW w:w="16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360" w:type="dxa"/>
            <w:vAlign w:val="bottom"/>
            <w:tcBorders>
              <w:top w:val="single" w:sz="8" w:color="auto"/>
              <w:bottom w:val="single" w:sz="8" w:color="auto"/>
              <w:right w:val="single" w:sz="8" w:color="auto"/>
            </w:tcBorders>
            <w:shd w:val="clear" w:color="auto" w:fill="CCEEFF"/>
          </w:tcPr>
          <w:p>
            <w:pPr>
              <w:jc w:val="right"/>
              <w:ind w:right="37"/>
              <w:spacing w:after="0" w:line="83" w:lineRule="exact"/>
              <w:rPr>
                <w:sz w:val="20"/>
                <w:szCs w:val="20"/>
                <w:color w:val="auto"/>
              </w:rPr>
            </w:pPr>
            <w:r>
              <w:rPr>
                <w:rFonts w:ascii="Times New Roman" w:cs="Times New Roman" w:eastAsia="Times New Roman" w:hAnsi="Times New Roman"/>
                <w:sz w:val="9"/>
                <w:szCs w:val="9"/>
                <w:color w:val="auto"/>
              </w:rPr>
              <w:t>17</w:t>
            </w:r>
          </w:p>
        </w:tc>
        <w:tc>
          <w:tcPr>
            <w:tcW w:w="14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Borders>
              <w:top w:val="single" w:sz="8" w:color="auto"/>
              <w:bottom w:val="single" w:sz="8" w:color="auto"/>
            </w:tcBorders>
            <w:shd w:val="clear" w:color="auto" w:fill="CCEEFF"/>
          </w:tcPr>
          <w:p>
            <w:pPr>
              <w:jc w:val="right"/>
              <w:ind w:right="57"/>
              <w:spacing w:after="0" w:line="83" w:lineRule="exact"/>
              <w:rPr>
                <w:sz w:val="20"/>
                <w:szCs w:val="20"/>
                <w:color w:val="auto"/>
              </w:rPr>
            </w:pPr>
            <w:r>
              <w:rPr>
                <w:rFonts w:ascii="Times New Roman" w:cs="Times New Roman" w:eastAsia="Times New Roman" w:hAnsi="Times New Roman"/>
                <w:sz w:val="9"/>
                <w:szCs w:val="9"/>
                <w:color w:val="auto"/>
              </w:rPr>
              <w:t>155,402</w:t>
            </w:r>
          </w:p>
        </w:tc>
        <w:tc>
          <w:tcPr>
            <w:tcW w:w="18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68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(79,489)</w:t>
            </w:r>
          </w:p>
        </w:tc>
        <w:tc>
          <w:tcPr>
            <w:tcW w:w="10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Borders>
              <w:top w:val="single" w:sz="8" w:color="auto"/>
              <w:bottom w:val="single" w:sz="8" w:color="auto"/>
            </w:tcBorders>
            <w:shd w:val="clear" w:color="auto" w:fill="CCEEFF"/>
          </w:tcPr>
          <w:p>
            <w:pPr>
              <w:jc w:val="right"/>
              <w:ind w:right="57"/>
              <w:spacing w:after="0" w:line="83" w:lineRule="exact"/>
              <w:rPr>
                <w:sz w:val="20"/>
                <w:szCs w:val="20"/>
                <w:color w:val="auto"/>
              </w:rPr>
            </w:pPr>
            <w:r>
              <w:rPr>
                <w:rFonts w:ascii="Times New Roman" w:cs="Times New Roman" w:eastAsia="Times New Roman" w:hAnsi="Times New Roman"/>
                <w:sz w:val="9"/>
                <w:szCs w:val="9"/>
                <w:color w:val="auto"/>
              </w:rPr>
              <w:t>(40,407)</w:t>
            </w:r>
          </w:p>
        </w:tc>
        <w:tc>
          <w:tcPr>
            <w:tcW w:w="640" w:type="dxa"/>
            <w:vAlign w:val="bottom"/>
            <w:tcBorders>
              <w:top w:val="single" w:sz="8" w:color="auto"/>
              <w:bottom w:val="single" w:sz="8" w:color="auto"/>
            </w:tcBorders>
            <w:shd w:val="clear" w:color="auto" w:fill="CCEEFF"/>
          </w:tcPr>
          <w:p>
            <w:pPr>
              <w:ind w:left="120"/>
              <w:spacing w:after="0" w:line="83"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Borders>
              <w:top w:val="single" w:sz="8" w:color="auto"/>
              <w:bottom w:val="single" w:sz="8" w:color="auto"/>
            </w:tcBorders>
            <w:shd w:val="clear" w:color="auto" w:fill="CCEEFF"/>
          </w:tcPr>
          <w:p>
            <w:pPr>
              <w:jc w:val="right"/>
              <w:ind w:right="77"/>
              <w:spacing w:after="0" w:line="83" w:lineRule="exact"/>
              <w:rPr>
                <w:sz w:val="20"/>
                <w:szCs w:val="20"/>
                <w:color w:val="auto"/>
              </w:rPr>
            </w:pPr>
            <w:r>
              <w:rPr>
                <w:rFonts w:ascii="Times New Roman" w:cs="Times New Roman" w:eastAsia="Times New Roman" w:hAnsi="Times New Roman"/>
                <w:sz w:val="9"/>
                <w:szCs w:val="9"/>
                <w:color w:val="auto"/>
                <w:w w:val="91"/>
              </w:rPr>
              <w:t>(2,673)</w:t>
            </w:r>
          </w:p>
        </w:tc>
        <w:tc>
          <w:tcPr>
            <w:tcW w:w="18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tcBorders>
              <w:top w:val="single" w:sz="8" w:color="auto"/>
              <w:bottom w:val="single" w:sz="8" w:color="auto"/>
            </w:tcBorders>
            <w:shd w:val="clear" w:color="auto" w:fill="CCEEFF"/>
          </w:tcPr>
          <w:p>
            <w:pPr>
              <w:jc w:val="right"/>
              <w:ind w:right="17"/>
              <w:spacing w:after="0" w:line="83" w:lineRule="exact"/>
              <w:rPr>
                <w:sz w:val="20"/>
                <w:szCs w:val="20"/>
                <w:color w:val="auto"/>
              </w:rPr>
            </w:pPr>
            <w:r>
              <w:rPr>
                <w:rFonts w:ascii="Times New Roman" w:cs="Times New Roman" w:eastAsia="Times New Roman" w:hAnsi="Times New Roman"/>
                <w:sz w:val="9"/>
                <w:szCs w:val="9"/>
                <w:color w:val="auto"/>
              </w:rPr>
              <w:t>33,087</w:t>
            </w:r>
          </w:p>
        </w:tc>
        <w:tc>
          <w:tcPr>
            <w:tcW w:w="10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86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(91)</w:t>
            </w:r>
          </w:p>
        </w:tc>
        <w:tc>
          <w:tcPr>
            <w:tcW w:w="10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70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32,996</w:t>
            </w:r>
          </w:p>
        </w:tc>
        <w:tc>
          <w:tcPr>
            <w:tcW w:w="20" w:type="dxa"/>
            <w:vAlign w:val="bottom"/>
          </w:tcPr>
          <w:p>
            <w:pPr>
              <w:spacing w:after="0"/>
              <w:rPr>
                <w:sz w:val="7"/>
                <w:szCs w:val="7"/>
                <w:color w:val="auto"/>
              </w:rPr>
            </w:pPr>
          </w:p>
        </w:tc>
      </w:tr>
      <w:tr>
        <w:trPr>
          <w:trHeight w:val="92"/>
        </w:trPr>
        <w:tc>
          <w:tcPr>
            <w:tcW w:w="2560" w:type="dxa"/>
            <w:vAlign w:val="bottom"/>
            <w:tcBorders>
              <w:right w:val="single" w:sz="8" w:color="auto"/>
            </w:tcBorders>
          </w:tcPr>
          <w:p>
            <w:pPr>
              <w:spacing w:after="0" w:line="92" w:lineRule="exact"/>
              <w:rPr>
                <w:sz w:val="20"/>
                <w:szCs w:val="20"/>
                <w:color w:val="auto"/>
              </w:rPr>
            </w:pPr>
            <w:r>
              <w:rPr>
                <w:rFonts w:ascii="Times New Roman" w:cs="Times New Roman" w:eastAsia="Times New Roman" w:hAnsi="Times New Roman"/>
                <w:sz w:val="9"/>
                <w:szCs w:val="9"/>
                <w:color w:val="auto"/>
              </w:rPr>
              <w:t>Net income (loss)</w:t>
            </w:r>
          </w:p>
        </w:tc>
        <w:tc>
          <w:tcPr>
            <w:tcW w:w="760" w:type="dxa"/>
            <w:vAlign w:val="bottom"/>
          </w:tcPr>
          <w:p>
            <w:pPr>
              <w:jc w:val="right"/>
              <w:spacing w:after="0" w:line="92"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7"/>
                <w:szCs w:val="7"/>
                <w:color w:val="auto"/>
              </w:rPr>
            </w:pPr>
          </w:p>
        </w:tc>
        <w:tc>
          <w:tcPr>
            <w:tcW w:w="300" w:type="dxa"/>
            <w:vAlign w:val="bottom"/>
            <w:tcBorders>
              <w:right w:val="single" w:sz="8" w:color="auto"/>
            </w:tcBorders>
          </w:tcPr>
          <w:p>
            <w:pPr>
              <w:jc w:val="right"/>
              <w:ind w:right="37"/>
              <w:spacing w:after="0" w:line="92"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spacing w:after="0"/>
              <w:rPr>
                <w:sz w:val="7"/>
                <w:szCs w:val="7"/>
                <w:color w:val="auto"/>
              </w:rPr>
            </w:pPr>
          </w:p>
        </w:tc>
        <w:tc>
          <w:tcPr>
            <w:tcW w:w="240" w:type="dxa"/>
            <w:vAlign w:val="bottom"/>
          </w:tcPr>
          <w:p>
            <w:pPr>
              <w:jc w:val="right"/>
              <w:spacing w:after="0" w:line="92"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7"/>
                <w:szCs w:val="7"/>
                <w:color w:val="auto"/>
              </w:rPr>
            </w:pPr>
          </w:p>
        </w:tc>
        <w:tc>
          <w:tcPr>
            <w:tcW w:w="360" w:type="dxa"/>
            <w:vAlign w:val="bottom"/>
            <w:tcBorders>
              <w:right w:val="single" w:sz="8" w:color="auto"/>
            </w:tcBorders>
          </w:tcPr>
          <w:p>
            <w:pPr>
              <w:jc w:val="right"/>
              <w:ind w:right="37"/>
              <w:spacing w:after="0" w:line="92"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640" w:type="dxa"/>
            <w:vAlign w:val="bottom"/>
          </w:tcPr>
          <w:p>
            <w:pPr>
              <w:jc w:val="right"/>
              <w:ind w:right="57"/>
              <w:spacing w:after="0" w:line="92"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7"/>
                <w:szCs w:val="7"/>
                <w:color w:val="auto"/>
              </w:rPr>
            </w:pPr>
          </w:p>
        </w:tc>
        <w:tc>
          <w:tcPr>
            <w:tcW w:w="680" w:type="dxa"/>
            <w:vAlign w:val="bottom"/>
          </w:tcPr>
          <w:p>
            <w:pPr>
              <w:jc w:val="right"/>
              <w:spacing w:after="0" w:line="92" w:lineRule="exact"/>
              <w:rPr>
                <w:sz w:val="20"/>
                <w:szCs w:val="20"/>
                <w:color w:val="auto"/>
              </w:rPr>
            </w:pPr>
            <w:r>
              <w:rPr>
                <w:rFonts w:ascii="Times New Roman" w:cs="Times New Roman" w:eastAsia="Times New Roman" w:hAnsi="Times New Roman"/>
                <w:sz w:val="9"/>
                <w:szCs w:val="9"/>
                <w:color w:val="auto"/>
              </w:rPr>
              <w:t>(13,228)</w:t>
            </w:r>
          </w:p>
        </w:tc>
        <w:tc>
          <w:tcPr>
            <w:tcW w:w="100" w:type="dxa"/>
            <w:vAlign w:val="bottom"/>
          </w:tcPr>
          <w:p>
            <w:pPr>
              <w:spacing w:after="0"/>
              <w:rPr>
                <w:sz w:val="7"/>
                <w:szCs w:val="7"/>
                <w:color w:val="auto"/>
              </w:rPr>
            </w:pPr>
          </w:p>
        </w:tc>
        <w:tc>
          <w:tcPr>
            <w:tcW w:w="640" w:type="dxa"/>
            <w:vAlign w:val="bottom"/>
          </w:tcPr>
          <w:p>
            <w:pPr>
              <w:jc w:val="right"/>
              <w:ind w:right="57"/>
              <w:spacing w:after="0" w:line="92"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spacing w:after="0"/>
              <w:rPr>
                <w:sz w:val="7"/>
                <w:szCs w:val="7"/>
                <w:color w:val="auto"/>
              </w:rPr>
            </w:pPr>
          </w:p>
        </w:tc>
        <w:tc>
          <w:tcPr>
            <w:tcW w:w="380" w:type="dxa"/>
            <w:vAlign w:val="bottom"/>
          </w:tcPr>
          <w:p>
            <w:pPr>
              <w:jc w:val="right"/>
              <w:ind w:right="77"/>
              <w:spacing w:after="0" w:line="92"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7"/>
                <w:szCs w:val="7"/>
                <w:color w:val="auto"/>
              </w:rPr>
            </w:pPr>
          </w:p>
        </w:tc>
        <w:tc>
          <w:tcPr>
            <w:tcW w:w="880" w:type="dxa"/>
            <w:vAlign w:val="bottom"/>
          </w:tcPr>
          <w:p>
            <w:pPr>
              <w:jc w:val="right"/>
              <w:ind w:right="17"/>
              <w:spacing w:after="0" w:line="92" w:lineRule="exact"/>
              <w:rPr>
                <w:sz w:val="20"/>
                <w:szCs w:val="20"/>
                <w:color w:val="auto"/>
              </w:rPr>
            </w:pPr>
            <w:r>
              <w:rPr>
                <w:rFonts w:ascii="Times New Roman" w:cs="Times New Roman" w:eastAsia="Times New Roman" w:hAnsi="Times New Roman"/>
                <w:sz w:val="9"/>
                <w:szCs w:val="9"/>
                <w:color w:val="auto"/>
              </w:rPr>
              <w:t>(13,228)</w:t>
            </w:r>
          </w:p>
        </w:tc>
        <w:tc>
          <w:tcPr>
            <w:tcW w:w="100" w:type="dxa"/>
            <w:vAlign w:val="bottom"/>
          </w:tcPr>
          <w:p>
            <w:pPr>
              <w:spacing w:after="0"/>
              <w:rPr>
                <w:sz w:val="7"/>
                <w:szCs w:val="7"/>
                <w:color w:val="auto"/>
              </w:rPr>
            </w:pPr>
          </w:p>
        </w:tc>
        <w:tc>
          <w:tcPr>
            <w:tcW w:w="860" w:type="dxa"/>
            <w:vAlign w:val="bottom"/>
          </w:tcPr>
          <w:p>
            <w:pPr>
              <w:jc w:val="right"/>
              <w:spacing w:after="0" w:line="92" w:lineRule="exact"/>
              <w:rPr>
                <w:sz w:val="20"/>
                <w:szCs w:val="20"/>
                <w:color w:val="auto"/>
              </w:rPr>
            </w:pPr>
            <w:r>
              <w:rPr>
                <w:rFonts w:ascii="Times New Roman" w:cs="Times New Roman" w:eastAsia="Times New Roman" w:hAnsi="Times New Roman"/>
                <w:sz w:val="9"/>
                <w:szCs w:val="9"/>
                <w:color w:val="auto"/>
              </w:rPr>
              <w:t>(175)</w:t>
            </w:r>
          </w:p>
        </w:tc>
        <w:tc>
          <w:tcPr>
            <w:tcW w:w="100" w:type="dxa"/>
            <w:vAlign w:val="bottom"/>
          </w:tcPr>
          <w:p>
            <w:pPr>
              <w:spacing w:after="0"/>
              <w:rPr>
                <w:sz w:val="7"/>
                <w:szCs w:val="7"/>
                <w:color w:val="auto"/>
              </w:rPr>
            </w:pPr>
          </w:p>
        </w:tc>
        <w:tc>
          <w:tcPr>
            <w:tcW w:w="700" w:type="dxa"/>
            <w:vAlign w:val="bottom"/>
          </w:tcPr>
          <w:p>
            <w:pPr>
              <w:jc w:val="right"/>
              <w:spacing w:after="0" w:line="92" w:lineRule="exact"/>
              <w:rPr>
                <w:sz w:val="20"/>
                <w:szCs w:val="20"/>
                <w:color w:val="auto"/>
              </w:rPr>
            </w:pPr>
            <w:r>
              <w:rPr>
                <w:rFonts w:ascii="Times New Roman" w:cs="Times New Roman" w:eastAsia="Times New Roman" w:hAnsi="Times New Roman"/>
                <w:sz w:val="9"/>
                <w:szCs w:val="9"/>
                <w:color w:val="auto"/>
              </w:rPr>
              <w:t>(13,403)</w:t>
            </w:r>
          </w:p>
        </w:tc>
        <w:tc>
          <w:tcPr>
            <w:tcW w:w="20" w:type="dxa"/>
            <w:vAlign w:val="bottom"/>
          </w:tcPr>
          <w:p>
            <w:pPr>
              <w:spacing w:after="0"/>
              <w:rPr>
                <w:sz w:val="7"/>
                <w:szCs w:val="7"/>
                <w:color w:val="auto"/>
              </w:rPr>
            </w:pPr>
          </w:p>
        </w:tc>
      </w:tr>
      <w:tr>
        <w:trPr>
          <w:trHeight w:val="93"/>
        </w:trPr>
        <w:tc>
          <w:tcPr>
            <w:tcW w:w="2560" w:type="dxa"/>
            <w:vAlign w:val="bottom"/>
            <w:tcBorders>
              <w:right w:val="single" w:sz="8" w:color="auto"/>
            </w:tcBorders>
            <w:shd w:val="clear" w:color="auto" w:fill="CCEEFF"/>
          </w:tcPr>
          <w:p>
            <w:pPr>
              <w:spacing w:after="0" w:line="94" w:lineRule="exact"/>
              <w:rPr>
                <w:sz w:val="20"/>
                <w:szCs w:val="20"/>
                <w:color w:val="auto"/>
              </w:rPr>
            </w:pPr>
            <w:r>
              <w:rPr>
                <w:rFonts w:ascii="Times New Roman" w:cs="Times New Roman" w:eastAsia="Times New Roman" w:hAnsi="Times New Roman"/>
                <w:sz w:val="9"/>
                <w:szCs w:val="9"/>
                <w:color w:val="auto"/>
              </w:rPr>
              <w:t>Other comprehensive income, net</w:t>
            </w:r>
          </w:p>
        </w:tc>
        <w:tc>
          <w:tcPr>
            <w:tcW w:w="760" w:type="dxa"/>
            <w:vAlign w:val="bottom"/>
            <w:tcBorders>
              <w:right w:val="single" w:sz="8" w:color="CCEEFF"/>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300" w:type="dxa"/>
            <w:vAlign w:val="bottom"/>
            <w:tcBorders>
              <w:right w:val="single" w:sz="8" w:color="auto"/>
            </w:tcBorders>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8"/>
                <w:szCs w:val="8"/>
                <w:color w:val="auto"/>
              </w:rPr>
            </w:pPr>
          </w:p>
        </w:tc>
        <w:tc>
          <w:tcPr>
            <w:tcW w:w="360" w:type="dxa"/>
            <w:vAlign w:val="bottom"/>
            <w:tcBorders>
              <w:right w:val="single" w:sz="8" w:color="auto"/>
            </w:tcBorders>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shd w:val="clear" w:color="auto" w:fill="CCEEFF"/>
          </w:tcPr>
          <w:p>
            <w:pPr>
              <w:spacing w:after="0"/>
              <w:rPr>
                <w:sz w:val="8"/>
                <w:szCs w:val="8"/>
                <w:color w:val="auto"/>
              </w:rPr>
            </w:pPr>
          </w:p>
        </w:tc>
        <w:tc>
          <w:tcPr>
            <w:tcW w:w="380" w:type="dxa"/>
            <w:vAlign w:val="bottom"/>
            <w:shd w:val="clear" w:color="auto" w:fill="CCEEFF"/>
          </w:tcPr>
          <w:p>
            <w:pPr>
              <w:jc w:val="right"/>
              <w:ind w:right="77"/>
              <w:spacing w:after="0" w:line="94" w:lineRule="exact"/>
              <w:rPr>
                <w:sz w:val="20"/>
                <w:szCs w:val="20"/>
                <w:color w:val="auto"/>
              </w:rPr>
            </w:pPr>
            <w:r>
              <w:rPr>
                <w:rFonts w:ascii="Times New Roman" w:cs="Times New Roman" w:eastAsia="Times New Roman" w:hAnsi="Times New Roman"/>
                <w:sz w:val="9"/>
                <w:szCs w:val="9"/>
                <w:color w:val="auto"/>
                <w:w w:val="91"/>
              </w:rPr>
              <w:t>(2,538)</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ind w:right="17"/>
              <w:spacing w:after="0" w:line="94" w:lineRule="exact"/>
              <w:rPr>
                <w:sz w:val="20"/>
                <w:szCs w:val="20"/>
                <w:color w:val="auto"/>
              </w:rPr>
            </w:pPr>
            <w:r>
              <w:rPr>
                <w:rFonts w:ascii="Times New Roman" w:cs="Times New Roman" w:eastAsia="Times New Roman" w:hAnsi="Times New Roman"/>
                <w:sz w:val="9"/>
                <w:szCs w:val="9"/>
                <w:color w:val="auto"/>
              </w:rPr>
              <w:t>(2,538)</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(3)</w:t>
            </w: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(2,541)</w:t>
            </w:r>
          </w:p>
        </w:tc>
      </w:tr>
      <w:tr>
        <w:trPr>
          <w:trHeight w:val="93"/>
        </w:trPr>
        <w:tc>
          <w:tcPr>
            <w:tcW w:w="2560" w:type="dxa"/>
            <w:vAlign w:val="bottom"/>
            <w:tcBorders>
              <w:right w:val="single" w:sz="8" w:color="auto"/>
            </w:tcBorders>
          </w:tcPr>
          <w:p>
            <w:pPr>
              <w:spacing w:after="0" w:line="94" w:lineRule="exact"/>
              <w:rPr>
                <w:sz w:val="20"/>
                <w:szCs w:val="20"/>
                <w:color w:val="auto"/>
              </w:rPr>
            </w:pPr>
            <w:r>
              <w:rPr>
                <w:rFonts w:ascii="Times New Roman" w:cs="Times New Roman" w:eastAsia="Times New Roman" w:hAnsi="Times New Roman"/>
                <w:sz w:val="9"/>
                <w:szCs w:val="9"/>
                <w:color w:val="auto"/>
              </w:rPr>
              <w:t>Share-based compensation expense</w:t>
            </w:r>
          </w:p>
        </w:tc>
        <w:tc>
          <w:tcPr>
            <w:tcW w:w="76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300" w:type="dxa"/>
            <w:vAlign w:val="bottom"/>
            <w:tcBorders>
              <w:right w:val="single" w:sz="8" w:color="auto"/>
            </w:tcBorders>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spacing w:after="0"/>
              <w:rPr>
                <w:sz w:val="8"/>
                <w:szCs w:val="8"/>
                <w:color w:val="auto"/>
              </w:rPr>
            </w:pPr>
          </w:p>
        </w:tc>
        <w:tc>
          <w:tcPr>
            <w:tcW w:w="24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360" w:type="dxa"/>
            <w:vAlign w:val="bottom"/>
            <w:tcBorders>
              <w:right w:val="single" w:sz="8" w:color="auto"/>
            </w:tcBorders>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6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678</w:t>
            </w:r>
          </w:p>
        </w:tc>
        <w:tc>
          <w:tcPr>
            <w:tcW w:w="180" w:type="dxa"/>
            <w:vAlign w:val="bottom"/>
          </w:tcPr>
          <w:p>
            <w:pPr>
              <w:spacing w:after="0"/>
              <w:rPr>
                <w:sz w:val="8"/>
                <w:szCs w:val="8"/>
                <w:color w:val="auto"/>
              </w:rPr>
            </w:pP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spacing w:after="0"/>
              <w:rPr>
                <w:sz w:val="8"/>
                <w:szCs w:val="8"/>
                <w:color w:val="auto"/>
              </w:rPr>
            </w:pPr>
          </w:p>
        </w:tc>
        <w:tc>
          <w:tcPr>
            <w:tcW w:w="380" w:type="dxa"/>
            <w:vAlign w:val="bottom"/>
          </w:tcPr>
          <w:p>
            <w:pPr>
              <w:jc w:val="right"/>
              <w:ind w:right="77"/>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880" w:type="dxa"/>
            <w:vAlign w:val="bottom"/>
          </w:tcPr>
          <w:p>
            <w:pPr>
              <w:jc w:val="right"/>
              <w:ind w:right="17"/>
              <w:spacing w:after="0" w:line="94" w:lineRule="exact"/>
              <w:rPr>
                <w:sz w:val="20"/>
                <w:szCs w:val="20"/>
                <w:color w:val="auto"/>
              </w:rPr>
            </w:pPr>
            <w:r>
              <w:rPr>
                <w:rFonts w:ascii="Times New Roman" w:cs="Times New Roman" w:eastAsia="Times New Roman" w:hAnsi="Times New Roman"/>
                <w:sz w:val="9"/>
                <w:szCs w:val="9"/>
                <w:color w:val="auto"/>
              </w:rPr>
              <w:t>678</w:t>
            </w:r>
          </w:p>
        </w:tc>
        <w:tc>
          <w:tcPr>
            <w:tcW w:w="100" w:type="dxa"/>
            <w:vAlign w:val="bottom"/>
          </w:tcPr>
          <w:p>
            <w:pPr>
              <w:spacing w:after="0"/>
              <w:rPr>
                <w:sz w:val="8"/>
                <w:szCs w:val="8"/>
                <w:color w:val="auto"/>
              </w:rPr>
            </w:pPr>
          </w:p>
        </w:tc>
        <w:tc>
          <w:tcPr>
            <w:tcW w:w="86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72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678</w:t>
            </w:r>
          </w:p>
        </w:tc>
      </w:tr>
      <w:tr>
        <w:trPr>
          <w:trHeight w:val="93"/>
        </w:trPr>
        <w:tc>
          <w:tcPr>
            <w:tcW w:w="2560" w:type="dxa"/>
            <w:vAlign w:val="bottom"/>
            <w:tcBorders>
              <w:right w:val="single" w:sz="8" w:color="auto"/>
            </w:tcBorders>
            <w:shd w:val="clear" w:color="auto" w:fill="CCEEFF"/>
          </w:tcPr>
          <w:p>
            <w:pPr>
              <w:spacing w:after="0" w:line="94" w:lineRule="exact"/>
              <w:rPr>
                <w:sz w:val="20"/>
                <w:szCs w:val="20"/>
                <w:color w:val="auto"/>
              </w:rPr>
            </w:pPr>
            <w:r>
              <w:rPr>
                <w:rFonts w:ascii="Times New Roman" w:cs="Times New Roman" w:eastAsia="Times New Roman" w:hAnsi="Times New Roman"/>
                <w:sz w:val="9"/>
                <w:szCs w:val="9"/>
                <w:color w:val="auto"/>
              </w:rPr>
              <w:t>Restricted Stock Units</w:t>
            </w:r>
          </w:p>
        </w:tc>
        <w:tc>
          <w:tcPr>
            <w:tcW w:w="760" w:type="dxa"/>
            <w:vAlign w:val="bottom"/>
            <w:tcBorders>
              <w:right w:val="single" w:sz="8" w:color="CCEEFF"/>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9</w:t>
            </w:r>
          </w:p>
        </w:tc>
        <w:tc>
          <w:tcPr>
            <w:tcW w:w="180" w:type="dxa"/>
            <w:vAlign w:val="bottom"/>
            <w:shd w:val="clear" w:color="auto" w:fill="CCEEFF"/>
          </w:tcPr>
          <w:p>
            <w:pPr>
              <w:spacing w:after="0"/>
              <w:rPr>
                <w:sz w:val="8"/>
                <w:szCs w:val="8"/>
                <w:color w:val="auto"/>
              </w:rPr>
            </w:pPr>
          </w:p>
        </w:tc>
        <w:tc>
          <w:tcPr>
            <w:tcW w:w="300" w:type="dxa"/>
            <w:vAlign w:val="bottom"/>
            <w:tcBorders>
              <w:right w:val="single" w:sz="8" w:color="auto"/>
            </w:tcBorders>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8"/>
                <w:szCs w:val="8"/>
                <w:color w:val="auto"/>
              </w:rPr>
            </w:pPr>
          </w:p>
        </w:tc>
        <w:tc>
          <w:tcPr>
            <w:tcW w:w="360" w:type="dxa"/>
            <w:vAlign w:val="bottom"/>
            <w:tcBorders>
              <w:right w:val="single" w:sz="8" w:color="auto"/>
            </w:tcBorders>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(2)</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shd w:val="clear" w:color="auto" w:fill="CCEEFF"/>
          </w:tcPr>
          <w:p>
            <w:pPr>
              <w:spacing w:after="0"/>
              <w:rPr>
                <w:sz w:val="8"/>
                <w:szCs w:val="8"/>
                <w:color w:val="auto"/>
              </w:rPr>
            </w:pPr>
          </w:p>
        </w:tc>
        <w:tc>
          <w:tcPr>
            <w:tcW w:w="380" w:type="dxa"/>
            <w:vAlign w:val="bottom"/>
            <w:shd w:val="clear" w:color="auto" w:fill="CCEEFF"/>
          </w:tcPr>
          <w:p>
            <w:pPr>
              <w:jc w:val="right"/>
              <w:ind w:right="77"/>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ind w:right="17"/>
              <w:spacing w:after="0" w:line="94" w:lineRule="exact"/>
              <w:rPr>
                <w:sz w:val="20"/>
                <w:szCs w:val="20"/>
                <w:color w:val="auto"/>
              </w:rPr>
            </w:pPr>
            <w:r>
              <w:rPr>
                <w:rFonts w:ascii="Times New Roman" w:cs="Times New Roman" w:eastAsia="Times New Roman" w:hAnsi="Times New Roman"/>
                <w:sz w:val="9"/>
                <w:szCs w:val="9"/>
                <w:color w:val="auto"/>
              </w:rPr>
              <w:t>(2)</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(2)</w:t>
            </w:r>
          </w:p>
        </w:tc>
      </w:tr>
      <w:tr>
        <w:trPr>
          <w:trHeight w:val="82"/>
        </w:trPr>
        <w:tc>
          <w:tcPr>
            <w:tcW w:w="2560" w:type="dxa"/>
            <w:vAlign w:val="bottom"/>
            <w:tcBorders>
              <w:top w:val="single" w:sz="8" w:color="auto"/>
              <w:bottom w:val="single" w:sz="8" w:color="auto"/>
              <w:right w:val="single" w:sz="8" w:color="auto"/>
            </w:tcBorders>
          </w:tcPr>
          <w:p>
            <w:pPr>
              <w:spacing w:after="0" w:line="83" w:lineRule="exact"/>
              <w:rPr>
                <w:sz w:val="20"/>
                <w:szCs w:val="20"/>
                <w:color w:val="auto"/>
              </w:rPr>
            </w:pPr>
            <w:r>
              <w:rPr>
                <w:rFonts w:ascii="Times New Roman" w:cs="Times New Roman" w:eastAsia="Times New Roman" w:hAnsi="Times New Roman"/>
                <w:sz w:val="9"/>
                <w:szCs w:val="9"/>
                <w:color w:val="auto"/>
              </w:rPr>
              <w:t>At March 31, 2024</w:t>
            </w:r>
          </w:p>
        </w:tc>
        <w:tc>
          <w:tcPr>
            <w:tcW w:w="76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20,673</w:t>
            </w:r>
          </w:p>
        </w:tc>
        <w:tc>
          <w:tcPr>
            <w:tcW w:w="180" w:type="dxa"/>
            <w:vAlign w:val="bottom"/>
            <w:tcBorders>
              <w:top w:val="single" w:sz="8" w:color="auto"/>
              <w:bottom w:val="single" w:sz="8" w:color="auto"/>
            </w:tcBorders>
          </w:tcPr>
          <w:p>
            <w:pPr>
              <w:ind w:left="120"/>
              <w:spacing w:after="0" w:line="83" w:lineRule="exact"/>
              <w:rPr>
                <w:sz w:val="20"/>
                <w:szCs w:val="20"/>
                <w:color w:val="auto"/>
              </w:rPr>
            </w:pPr>
            <w:r>
              <w:rPr>
                <w:rFonts w:ascii="Times New Roman" w:cs="Times New Roman" w:eastAsia="Times New Roman" w:hAnsi="Times New Roman"/>
                <w:sz w:val="9"/>
                <w:szCs w:val="9"/>
                <w:color w:val="auto"/>
                <w:w w:val="87"/>
              </w:rPr>
              <w:t>$</w:t>
            </w:r>
          </w:p>
        </w:tc>
        <w:tc>
          <w:tcPr>
            <w:tcW w:w="300" w:type="dxa"/>
            <w:vAlign w:val="bottom"/>
            <w:tcBorders>
              <w:top w:val="single" w:sz="8" w:color="auto"/>
              <w:bottom w:val="single" w:sz="8" w:color="auto"/>
              <w:right w:val="single" w:sz="8" w:color="auto"/>
            </w:tcBorders>
          </w:tcPr>
          <w:p>
            <w:pPr>
              <w:jc w:val="right"/>
              <w:ind w:right="37"/>
              <w:spacing w:after="0" w:line="83" w:lineRule="exact"/>
              <w:rPr>
                <w:sz w:val="20"/>
                <w:szCs w:val="20"/>
                <w:color w:val="auto"/>
              </w:rPr>
            </w:pPr>
            <w:r>
              <w:rPr>
                <w:rFonts w:ascii="Times New Roman" w:cs="Times New Roman" w:eastAsia="Times New Roman" w:hAnsi="Times New Roman"/>
                <w:sz w:val="9"/>
                <w:szCs w:val="9"/>
                <w:color w:val="auto"/>
              </w:rPr>
              <w:t>237</w:t>
            </w:r>
          </w:p>
        </w:tc>
        <w:tc>
          <w:tcPr>
            <w:tcW w:w="520" w:type="dxa"/>
            <w:vAlign w:val="bottom"/>
            <w:tcBorders>
              <w:top w:val="single" w:sz="8" w:color="auto"/>
              <w:bottom w:val="single" w:sz="8" w:color="auto"/>
            </w:tcBorders>
          </w:tcPr>
          <w:p>
            <w:pPr>
              <w:spacing w:after="0"/>
              <w:rPr>
                <w:sz w:val="7"/>
                <w:szCs w:val="7"/>
                <w:color w:val="auto"/>
              </w:rPr>
            </w:pPr>
          </w:p>
        </w:tc>
        <w:tc>
          <w:tcPr>
            <w:tcW w:w="24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w w:val="98"/>
              </w:rPr>
              <w:t>1,681</w:t>
            </w:r>
          </w:p>
        </w:tc>
        <w:tc>
          <w:tcPr>
            <w:tcW w:w="16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360" w:type="dxa"/>
            <w:vAlign w:val="bottom"/>
            <w:tcBorders>
              <w:top w:val="single" w:sz="8" w:color="auto"/>
              <w:bottom w:val="single" w:sz="8" w:color="auto"/>
              <w:right w:val="single" w:sz="8" w:color="auto"/>
            </w:tcBorders>
          </w:tcPr>
          <w:p>
            <w:pPr>
              <w:jc w:val="right"/>
              <w:ind w:right="37"/>
              <w:spacing w:after="0" w:line="83" w:lineRule="exact"/>
              <w:rPr>
                <w:sz w:val="20"/>
                <w:szCs w:val="20"/>
                <w:color w:val="auto"/>
              </w:rPr>
            </w:pPr>
            <w:r>
              <w:rPr>
                <w:rFonts w:ascii="Times New Roman" w:cs="Times New Roman" w:eastAsia="Times New Roman" w:hAnsi="Times New Roman"/>
                <w:sz w:val="9"/>
                <w:szCs w:val="9"/>
                <w:color w:val="auto"/>
              </w:rPr>
              <w:t>17</w:t>
            </w:r>
          </w:p>
        </w:tc>
        <w:tc>
          <w:tcPr>
            <w:tcW w:w="14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Borders>
              <w:top w:val="single" w:sz="8" w:color="auto"/>
              <w:bottom w:val="single" w:sz="8" w:color="auto"/>
            </w:tcBorders>
          </w:tcPr>
          <w:p>
            <w:pPr>
              <w:jc w:val="right"/>
              <w:ind w:right="57"/>
              <w:spacing w:after="0" w:line="83" w:lineRule="exact"/>
              <w:rPr>
                <w:sz w:val="20"/>
                <w:szCs w:val="20"/>
                <w:color w:val="auto"/>
              </w:rPr>
            </w:pPr>
            <w:r>
              <w:rPr>
                <w:rFonts w:ascii="Times New Roman" w:cs="Times New Roman" w:eastAsia="Times New Roman" w:hAnsi="Times New Roman"/>
                <w:sz w:val="9"/>
                <w:szCs w:val="9"/>
                <w:color w:val="auto"/>
              </w:rPr>
              <w:t>156,078</w:t>
            </w:r>
          </w:p>
        </w:tc>
        <w:tc>
          <w:tcPr>
            <w:tcW w:w="18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68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(92,717)</w:t>
            </w:r>
          </w:p>
        </w:tc>
        <w:tc>
          <w:tcPr>
            <w:tcW w:w="10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Borders>
              <w:top w:val="single" w:sz="8" w:color="auto"/>
              <w:bottom w:val="single" w:sz="8" w:color="auto"/>
            </w:tcBorders>
          </w:tcPr>
          <w:p>
            <w:pPr>
              <w:jc w:val="right"/>
              <w:ind w:right="57"/>
              <w:spacing w:after="0" w:line="83" w:lineRule="exact"/>
              <w:rPr>
                <w:sz w:val="20"/>
                <w:szCs w:val="20"/>
                <w:color w:val="auto"/>
              </w:rPr>
            </w:pPr>
            <w:r>
              <w:rPr>
                <w:rFonts w:ascii="Times New Roman" w:cs="Times New Roman" w:eastAsia="Times New Roman" w:hAnsi="Times New Roman"/>
                <w:sz w:val="9"/>
                <w:szCs w:val="9"/>
                <w:color w:val="auto"/>
              </w:rPr>
              <w:t>(40,407)</w:t>
            </w:r>
          </w:p>
        </w:tc>
        <w:tc>
          <w:tcPr>
            <w:tcW w:w="640" w:type="dxa"/>
            <w:vAlign w:val="bottom"/>
            <w:tcBorders>
              <w:top w:val="single" w:sz="8" w:color="auto"/>
              <w:bottom w:val="single" w:sz="8" w:color="auto"/>
            </w:tcBorders>
          </w:tcPr>
          <w:p>
            <w:pPr>
              <w:ind w:left="120"/>
              <w:spacing w:after="0" w:line="83"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Borders>
              <w:top w:val="single" w:sz="8" w:color="auto"/>
              <w:bottom w:val="single" w:sz="8" w:color="auto"/>
            </w:tcBorders>
          </w:tcPr>
          <w:p>
            <w:pPr>
              <w:jc w:val="right"/>
              <w:ind w:right="77"/>
              <w:spacing w:after="0" w:line="83" w:lineRule="exact"/>
              <w:rPr>
                <w:sz w:val="20"/>
                <w:szCs w:val="20"/>
                <w:color w:val="auto"/>
              </w:rPr>
            </w:pPr>
            <w:r>
              <w:rPr>
                <w:rFonts w:ascii="Times New Roman" w:cs="Times New Roman" w:eastAsia="Times New Roman" w:hAnsi="Times New Roman"/>
                <w:sz w:val="9"/>
                <w:szCs w:val="9"/>
                <w:color w:val="auto"/>
                <w:w w:val="91"/>
              </w:rPr>
              <w:t>(5,211)</w:t>
            </w:r>
          </w:p>
        </w:tc>
        <w:tc>
          <w:tcPr>
            <w:tcW w:w="18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tcBorders>
              <w:top w:val="single" w:sz="8" w:color="auto"/>
              <w:bottom w:val="single" w:sz="8" w:color="auto"/>
            </w:tcBorders>
          </w:tcPr>
          <w:p>
            <w:pPr>
              <w:jc w:val="right"/>
              <w:ind w:right="17"/>
              <w:spacing w:after="0" w:line="83" w:lineRule="exact"/>
              <w:rPr>
                <w:sz w:val="20"/>
                <w:szCs w:val="20"/>
                <w:color w:val="auto"/>
              </w:rPr>
            </w:pPr>
            <w:r>
              <w:rPr>
                <w:rFonts w:ascii="Times New Roman" w:cs="Times New Roman" w:eastAsia="Times New Roman" w:hAnsi="Times New Roman"/>
                <w:sz w:val="9"/>
                <w:szCs w:val="9"/>
                <w:color w:val="auto"/>
              </w:rPr>
              <w:t>17,997</w:t>
            </w:r>
          </w:p>
        </w:tc>
        <w:tc>
          <w:tcPr>
            <w:tcW w:w="10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86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(269)</w:t>
            </w:r>
          </w:p>
        </w:tc>
        <w:tc>
          <w:tcPr>
            <w:tcW w:w="10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70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17,728</w:t>
            </w:r>
          </w:p>
        </w:tc>
        <w:tc>
          <w:tcPr>
            <w:tcW w:w="20" w:type="dxa"/>
            <w:vAlign w:val="bottom"/>
          </w:tcPr>
          <w:p>
            <w:pPr>
              <w:spacing w:after="0"/>
              <w:rPr>
                <w:sz w:val="7"/>
                <w:szCs w:val="7"/>
                <w:color w:val="auto"/>
              </w:rPr>
            </w:pPr>
          </w:p>
        </w:tc>
      </w:tr>
      <w:tr>
        <w:trPr>
          <w:trHeight w:val="92"/>
        </w:trPr>
        <w:tc>
          <w:tcPr>
            <w:tcW w:w="2560" w:type="dxa"/>
            <w:vAlign w:val="bottom"/>
            <w:tcBorders>
              <w:right w:val="single" w:sz="8" w:color="auto"/>
            </w:tcBorders>
            <w:shd w:val="clear" w:color="auto" w:fill="CCEEFF"/>
          </w:tcPr>
          <w:p>
            <w:pPr>
              <w:spacing w:after="0" w:line="92" w:lineRule="exact"/>
              <w:rPr>
                <w:sz w:val="20"/>
                <w:szCs w:val="20"/>
                <w:color w:val="auto"/>
              </w:rPr>
            </w:pPr>
            <w:r>
              <w:rPr>
                <w:rFonts w:ascii="Times New Roman" w:cs="Times New Roman" w:eastAsia="Times New Roman" w:hAnsi="Times New Roman"/>
                <w:sz w:val="9"/>
                <w:szCs w:val="9"/>
                <w:color w:val="auto"/>
              </w:rPr>
              <w:t>Net income</w:t>
            </w:r>
          </w:p>
        </w:tc>
        <w:tc>
          <w:tcPr>
            <w:tcW w:w="760" w:type="dxa"/>
            <w:vAlign w:val="bottom"/>
            <w:tcBorders>
              <w:right w:val="single" w:sz="8" w:color="CCEEFF"/>
            </w:tcBorders>
            <w:shd w:val="clear" w:color="auto" w:fill="CCEEFF"/>
          </w:tcPr>
          <w:p>
            <w:pPr>
              <w:jc w:val="right"/>
              <w:spacing w:after="0" w:line="92"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7"/>
                <w:szCs w:val="7"/>
                <w:color w:val="auto"/>
              </w:rPr>
            </w:pPr>
          </w:p>
        </w:tc>
        <w:tc>
          <w:tcPr>
            <w:tcW w:w="300" w:type="dxa"/>
            <w:vAlign w:val="bottom"/>
            <w:tcBorders>
              <w:right w:val="single" w:sz="8" w:color="auto"/>
            </w:tcBorders>
            <w:shd w:val="clear" w:color="auto" w:fill="CCEEFF"/>
          </w:tcPr>
          <w:p>
            <w:pPr>
              <w:jc w:val="right"/>
              <w:ind w:right="37"/>
              <w:spacing w:after="0" w:line="92"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spacing w:after="0"/>
              <w:rPr>
                <w:sz w:val="7"/>
                <w:szCs w:val="7"/>
                <w:color w:val="auto"/>
              </w:rPr>
            </w:pPr>
          </w:p>
        </w:tc>
        <w:tc>
          <w:tcPr>
            <w:tcW w:w="240" w:type="dxa"/>
            <w:vAlign w:val="bottom"/>
            <w:tcBorders>
              <w:right w:val="single" w:sz="8" w:color="CCEEFF"/>
            </w:tcBorders>
            <w:shd w:val="clear" w:color="auto" w:fill="CCEEFF"/>
          </w:tcPr>
          <w:p>
            <w:pPr>
              <w:jc w:val="right"/>
              <w:spacing w:after="0" w:line="92"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7"/>
                <w:szCs w:val="7"/>
                <w:color w:val="auto"/>
              </w:rPr>
            </w:pPr>
          </w:p>
        </w:tc>
        <w:tc>
          <w:tcPr>
            <w:tcW w:w="360" w:type="dxa"/>
            <w:vAlign w:val="bottom"/>
            <w:tcBorders>
              <w:right w:val="single" w:sz="8" w:color="auto"/>
            </w:tcBorders>
            <w:shd w:val="clear" w:color="auto" w:fill="CCEEFF"/>
          </w:tcPr>
          <w:p>
            <w:pPr>
              <w:jc w:val="right"/>
              <w:ind w:right="37"/>
              <w:spacing w:after="0" w:line="92"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57"/>
              <w:spacing w:after="0" w:line="92"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7"/>
                <w:szCs w:val="7"/>
                <w:color w:val="auto"/>
              </w:rPr>
            </w:pPr>
          </w:p>
        </w:tc>
        <w:tc>
          <w:tcPr>
            <w:tcW w:w="680" w:type="dxa"/>
            <w:vAlign w:val="bottom"/>
            <w:shd w:val="clear" w:color="auto" w:fill="CCEEFF"/>
          </w:tcPr>
          <w:p>
            <w:pPr>
              <w:jc w:val="right"/>
              <w:spacing w:after="0" w:line="92" w:lineRule="exact"/>
              <w:rPr>
                <w:sz w:val="20"/>
                <w:szCs w:val="20"/>
                <w:color w:val="auto"/>
              </w:rPr>
            </w:pPr>
            <w:r>
              <w:rPr>
                <w:rFonts w:ascii="Times New Roman" w:cs="Times New Roman" w:eastAsia="Times New Roman" w:hAnsi="Times New Roman"/>
                <w:sz w:val="9"/>
                <w:szCs w:val="9"/>
                <w:color w:val="auto"/>
              </w:rPr>
              <w:t>(12,806)</w:t>
            </w: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57"/>
              <w:spacing w:after="0" w:line="92"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shd w:val="clear" w:color="auto" w:fill="CCEEFF"/>
          </w:tcPr>
          <w:p>
            <w:pPr>
              <w:spacing w:after="0"/>
              <w:rPr>
                <w:sz w:val="7"/>
                <w:szCs w:val="7"/>
                <w:color w:val="auto"/>
              </w:rPr>
            </w:pPr>
          </w:p>
        </w:tc>
        <w:tc>
          <w:tcPr>
            <w:tcW w:w="380" w:type="dxa"/>
            <w:vAlign w:val="bottom"/>
            <w:shd w:val="clear" w:color="auto" w:fill="CCEEFF"/>
          </w:tcPr>
          <w:p>
            <w:pPr>
              <w:jc w:val="right"/>
              <w:ind w:right="77"/>
              <w:spacing w:after="0" w:line="92"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7"/>
                <w:szCs w:val="7"/>
                <w:color w:val="auto"/>
              </w:rPr>
            </w:pPr>
          </w:p>
        </w:tc>
        <w:tc>
          <w:tcPr>
            <w:tcW w:w="880" w:type="dxa"/>
            <w:vAlign w:val="bottom"/>
            <w:shd w:val="clear" w:color="auto" w:fill="CCEEFF"/>
          </w:tcPr>
          <w:p>
            <w:pPr>
              <w:jc w:val="right"/>
              <w:ind w:right="17"/>
              <w:spacing w:after="0" w:line="92" w:lineRule="exact"/>
              <w:rPr>
                <w:sz w:val="20"/>
                <w:szCs w:val="20"/>
                <w:color w:val="auto"/>
              </w:rPr>
            </w:pPr>
            <w:r>
              <w:rPr>
                <w:rFonts w:ascii="Times New Roman" w:cs="Times New Roman" w:eastAsia="Times New Roman" w:hAnsi="Times New Roman"/>
                <w:sz w:val="9"/>
                <w:szCs w:val="9"/>
                <w:color w:val="auto"/>
              </w:rPr>
              <w:t>(12,806)</w:t>
            </w: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jc w:val="right"/>
              <w:spacing w:after="0" w:line="92" w:lineRule="exact"/>
              <w:rPr>
                <w:sz w:val="20"/>
                <w:szCs w:val="20"/>
                <w:color w:val="auto"/>
              </w:rPr>
            </w:pPr>
            <w:r>
              <w:rPr>
                <w:rFonts w:ascii="Times New Roman" w:cs="Times New Roman" w:eastAsia="Times New Roman" w:hAnsi="Times New Roman"/>
                <w:sz w:val="9"/>
                <w:szCs w:val="9"/>
                <w:color w:val="auto"/>
              </w:rPr>
              <w:t>(195)</w:t>
            </w: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line="92" w:lineRule="exact"/>
              <w:rPr>
                <w:sz w:val="20"/>
                <w:szCs w:val="20"/>
                <w:color w:val="auto"/>
              </w:rPr>
            </w:pPr>
            <w:r>
              <w:rPr>
                <w:rFonts w:ascii="Times New Roman" w:cs="Times New Roman" w:eastAsia="Times New Roman" w:hAnsi="Times New Roman"/>
                <w:sz w:val="9"/>
                <w:szCs w:val="9"/>
                <w:color w:val="auto"/>
              </w:rPr>
              <w:t>(13,001)</w:t>
            </w:r>
          </w:p>
        </w:tc>
        <w:tc>
          <w:tcPr>
            <w:tcW w:w="20" w:type="dxa"/>
            <w:vAlign w:val="bottom"/>
          </w:tcPr>
          <w:p>
            <w:pPr>
              <w:spacing w:after="0"/>
              <w:rPr>
                <w:sz w:val="7"/>
                <w:szCs w:val="7"/>
                <w:color w:val="auto"/>
              </w:rPr>
            </w:pPr>
          </w:p>
        </w:tc>
      </w:tr>
      <w:tr>
        <w:trPr>
          <w:trHeight w:val="93"/>
        </w:trPr>
        <w:tc>
          <w:tcPr>
            <w:tcW w:w="2560" w:type="dxa"/>
            <w:vAlign w:val="bottom"/>
            <w:tcBorders>
              <w:right w:val="single" w:sz="8" w:color="auto"/>
            </w:tcBorders>
          </w:tcPr>
          <w:p>
            <w:pPr>
              <w:spacing w:after="0" w:line="94" w:lineRule="exact"/>
              <w:rPr>
                <w:sz w:val="20"/>
                <w:szCs w:val="20"/>
                <w:color w:val="auto"/>
              </w:rPr>
            </w:pPr>
            <w:r>
              <w:rPr>
                <w:rFonts w:ascii="Times New Roman" w:cs="Times New Roman" w:eastAsia="Times New Roman" w:hAnsi="Times New Roman"/>
                <w:sz w:val="9"/>
                <w:szCs w:val="9"/>
                <w:color w:val="auto"/>
              </w:rPr>
              <w:t>Other comprehensive income, net</w:t>
            </w:r>
          </w:p>
        </w:tc>
        <w:tc>
          <w:tcPr>
            <w:tcW w:w="76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300" w:type="dxa"/>
            <w:vAlign w:val="bottom"/>
            <w:tcBorders>
              <w:right w:val="single" w:sz="8" w:color="auto"/>
            </w:tcBorders>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spacing w:after="0"/>
              <w:rPr>
                <w:sz w:val="8"/>
                <w:szCs w:val="8"/>
                <w:color w:val="auto"/>
              </w:rPr>
            </w:pPr>
          </w:p>
        </w:tc>
        <w:tc>
          <w:tcPr>
            <w:tcW w:w="24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360" w:type="dxa"/>
            <w:vAlign w:val="bottom"/>
            <w:tcBorders>
              <w:right w:val="single" w:sz="8" w:color="auto"/>
            </w:tcBorders>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6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spacing w:after="0"/>
              <w:rPr>
                <w:sz w:val="8"/>
                <w:szCs w:val="8"/>
                <w:color w:val="auto"/>
              </w:rPr>
            </w:pPr>
          </w:p>
        </w:tc>
        <w:tc>
          <w:tcPr>
            <w:tcW w:w="380" w:type="dxa"/>
            <w:vAlign w:val="bottom"/>
          </w:tcPr>
          <w:p>
            <w:pPr>
              <w:jc w:val="right"/>
              <w:ind w:right="77"/>
              <w:spacing w:after="0" w:line="94" w:lineRule="exact"/>
              <w:rPr>
                <w:sz w:val="20"/>
                <w:szCs w:val="20"/>
                <w:color w:val="auto"/>
              </w:rPr>
            </w:pPr>
            <w:r>
              <w:rPr>
                <w:rFonts w:ascii="Times New Roman" w:cs="Times New Roman" w:eastAsia="Times New Roman" w:hAnsi="Times New Roman"/>
                <w:sz w:val="9"/>
                <w:szCs w:val="9"/>
                <w:color w:val="auto"/>
              </w:rPr>
              <w:t>886</w:t>
            </w:r>
          </w:p>
        </w:tc>
        <w:tc>
          <w:tcPr>
            <w:tcW w:w="180" w:type="dxa"/>
            <w:vAlign w:val="bottom"/>
          </w:tcPr>
          <w:p>
            <w:pPr>
              <w:spacing w:after="0"/>
              <w:rPr>
                <w:sz w:val="8"/>
                <w:szCs w:val="8"/>
                <w:color w:val="auto"/>
              </w:rPr>
            </w:pPr>
          </w:p>
        </w:tc>
        <w:tc>
          <w:tcPr>
            <w:tcW w:w="880" w:type="dxa"/>
            <w:vAlign w:val="bottom"/>
          </w:tcPr>
          <w:p>
            <w:pPr>
              <w:jc w:val="right"/>
              <w:ind w:right="17"/>
              <w:spacing w:after="0" w:line="94" w:lineRule="exact"/>
              <w:rPr>
                <w:sz w:val="20"/>
                <w:szCs w:val="20"/>
                <w:color w:val="auto"/>
              </w:rPr>
            </w:pPr>
            <w:r>
              <w:rPr>
                <w:rFonts w:ascii="Times New Roman" w:cs="Times New Roman" w:eastAsia="Times New Roman" w:hAnsi="Times New Roman"/>
                <w:sz w:val="9"/>
                <w:szCs w:val="9"/>
                <w:color w:val="auto"/>
              </w:rPr>
              <w:t>886</w:t>
            </w:r>
          </w:p>
        </w:tc>
        <w:tc>
          <w:tcPr>
            <w:tcW w:w="100" w:type="dxa"/>
            <w:vAlign w:val="bottom"/>
          </w:tcPr>
          <w:p>
            <w:pPr>
              <w:spacing w:after="0"/>
              <w:rPr>
                <w:sz w:val="8"/>
                <w:szCs w:val="8"/>
                <w:color w:val="auto"/>
              </w:rPr>
            </w:pPr>
          </w:p>
        </w:tc>
        <w:tc>
          <w:tcPr>
            <w:tcW w:w="86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1</w:t>
            </w:r>
          </w:p>
        </w:tc>
        <w:tc>
          <w:tcPr>
            <w:tcW w:w="100" w:type="dxa"/>
            <w:vAlign w:val="bottom"/>
          </w:tcPr>
          <w:p>
            <w:pPr>
              <w:spacing w:after="0"/>
              <w:rPr>
                <w:sz w:val="8"/>
                <w:szCs w:val="8"/>
                <w:color w:val="auto"/>
              </w:rPr>
            </w:pPr>
          </w:p>
        </w:tc>
        <w:tc>
          <w:tcPr>
            <w:tcW w:w="70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887</w:t>
            </w:r>
          </w:p>
        </w:tc>
        <w:tc>
          <w:tcPr>
            <w:tcW w:w="20" w:type="dxa"/>
            <w:vAlign w:val="bottom"/>
          </w:tcPr>
          <w:p>
            <w:pPr>
              <w:spacing w:after="0"/>
              <w:rPr>
                <w:sz w:val="8"/>
                <w:szCs w:val="8"/>
                <w:color w:val="auto"/>
              </w:rPr>
            </w:pPr>
          </w:p>
        </w:tc>
      </w:tr>
      <w:tr>
        <w:trPr>
          <w:trHeight w:val="93"/>
        </w:trPr>
        <w:tc>
          <w:tcPr>
            <w:tcW w:w="2560" w:type="dxa"/>
            <w:vAlign w:val="bottom"/>
            <w:tcBorders>
              <w:right w:val="single" w:sz="8" w:color="auto"/>
            </w:tcBorders>
            <w:shd w:val="clear" w:color="auto" w:fill="CCEEFF"/>
          </w:tcPr>
          <w:p>
            <w:pPr>
              <w:spacing w:after="0" w:line="94" w:lineRule="exact"/>
              <w:rPr>
                <w:sz w:val="20"/>
                <w:szCs w:val="20"/>
                <w:color w:val="auto"/>
              </w:rPr>
            </w:pPr>
            <w:r>
              <w:rPr>
                <w:rFonts w:ascii="Times New Roman" w:cs="Times New Roman" w:eastAsia="Times New Roman" w:hAnsi="Times New Roman"/>
                <w:sz w:val="9"/>
                <w:szCs w:val="9"/>
                <w:color w:val="auto"/>
              </w:rPr>
              <w:t>Share-based compensation expense</w:t>
            </w:r>
          </w:p>
        </w:tc>
        <w:tc>
          <w:tcPr>
            <w:tcW w:w="760" w:type="dxa"/>
            <w:vAlign w:val="bottom"/>
            <w:tcBorders>
              <w:right w:val="single" w:sz="8" w:color="CCEEFF"/>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300" w:type="dxa"/>
            <w:vAlign w:val="bottom"/>
            <w:tcBorders>
              <w:right w:val="single" w:sz="8" w:color="auto"/>
            </w:tcBorders>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8"/>
                <w:szCs w:val="8"/>
                <w:color w:val="auto"/>
              </w:rPr>
            </w:pPr>
          </w:p>
        </w:tc>
        <w:tc>
          <w:tcPr>
            <w:tcW w:w="360" w:type="dxa"/>
            <w:vAlign w:val="bottom"/>
            <w:tcBorders>
              <w:right w:val="single" w:sz="8" w:color="auto"/>
            </w:tcBorders>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456</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shd w:val="clear" w:color="auto" w:fill="CCEEFF"/>
          </w:tcPr>
          <w:p>
            <w:pPr>
              <w:spacing w:after="0"/>
              <w:rPr>
                <w:sz w:val="8"/>
                <w:szCs w:val="8"/>
                <w:color w:val="auto"/>
              </w:rPr>
            </w:pPr>
          </w:p>
        </w:tc>
        <w:tc>
          <w:tcPr>
            <w:tcW w:w="380" w:type="dxa"/>
            <w:vAlign w:val="bottom"/>
            <w:shd w:val="clear" w:color="auto" w:fill="CCEEFF"/>
          </w:tcPr>
          <w:p>
            <w:pPr>
              <w:jc w:val="right"/>
              <w:ind w:right="77"/>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ind w:right="17"/>
              <w:spacing w:after="0" w:line="94" w:lineRule="exact"/>
              <w:rPr>
                <w:sz w:val="20"/>
                <w:szCs w:val="20"/>
                <w:color w:val="auto"/>
              </w:rPr>
            </w:pPr>
            <w:r>
              <w:rPr>
                <w:rFonts w:ascii="Times New Roman" w:cs="Times New Roman" w:eastAsia="Times New Roman" w:hAnsi="Times New Roman"/>
                <w:sz w:val="9"/>
                <w:szCs w:val="9"/>
                <w:color w:val="auto"/>
              </w:rPr>
              <w:t>456</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456</w:t>
            </w:r>
          </w:p>
        </w:tc>
      </w:tr>
      <w:tr>
        <w:trPr>
          <w:trHeight w:val="93"/>
        </w:trPr>
        <w:tc>
          <w:tcPr>
            <w:tcW w:w="2560" w:type="dxa"/>
            <w:vAlign w:val="bottom"/>
            <w:tcBorders>
              <w:right w:val="single" w:sz="8" w:color="auto"/>
            </w:tcBorders>
          </w:tcPr>
          <w:p>
            <w:pPr>
              <w:spacing w:after="0" w:line="94" w:lineRule="exact"/>
              <w:rPr>
                <w:sz w:val="20"/>
                <w:szCs w:val="20"/>
                <w:color w:val="auto"/>
              </w:rPr>
            </w:pPr>
            <w:r>
              <w:rPr>
                <w:rFonts w:ascii="Times New Roman" w:cs="Times New Roman" w:eastAsia="Times New Roman" w:hAnsi="Times New Roman"/>
                <w:sz w:val="9"/>
                <w:szCs w:val="9"/>
                <w:color w:val="auto"/>
              </w:rPr>
              <w:t>Restricted Stock Units</w:t>
            </w:r>
          </w:p>
        </w:tc>
        <w:tc>
          <w:tcPr>
            <w:tcW w:w="76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70</w:t>
            </w:r>
          </w:p>
        </w:tc>
        <w:tc>
          <w:tcPr>
            <w:tcW w:w="180" w:type="dxa"/>
            <w:vAlign w:val="bottom"/>
          </w:tcPr>
          <w:p>
            <w:pPr>
              <w:spacing w:after="0"/>
              <w:rPr>
                <w:sz w:val="8"/>
                <w:szCs w:val="8"/>
                <w:color w:val="auto"/>
              </w:rPr>
            </w:pPr>
          </w:p>
        </w:tc>
        <w:tc>
          <w:tcPr>
            <w:tcW w:w="300" w:type="dxa"/>
            <w:vAlign w:val="bottom"/>
            <w:tcBorders>
              <w:right w:val="single" w:sz="8" w:color="auto"/>
            </w:tcBorders>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1</w:t>
            </w:r>
          </w:p>
        </w:tc>
        <w:tc>
          <w:tcPr>
            <w:tcW w:w="520" w:type="dxa"/>
            <w:vAlign w:val="bottom"/>
          </w:tcPr>
          <w:p>
            <w:pPr>
              <w:spacing w:after="0"/>
              <w:rPr>
                <w:sz w:val="8"/>
                <w:szCs w:val="8"/>
                <w:color w:val="auto"/>
              </w:rPr>
            </w:pPr>
          </w:p>
        </w:tc>
        <w:tc>
          <w:tcPr>
            <w:tcW w:w="24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360" w:type="dxa"/>
            <w:vAlign w:val="bottom"/>
            <w:tcBorders>
              <w:right w:val="single" w:sz="8" w:color="auto"/>
            </w:tcBorders>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6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(5)</w:t>
            </w:r>
          </w:p>
        </w:tc>
        <w:tc>
          <w:tcPr>
            <w:tcW w:w="180" w:type="dxa"/>
            <w:vAlign w:val="bottom"/>
          </w:tcPr>
          <w:p>
            <w:pPr>
              <w:spacing w:after="0"/>
              <w:rPr>
                <w:sz w:val="8"/>
                <w:szCs w:val="8"/>
                <w:color w:val="auto"/>
              </w:rPr>
            </w:pP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spacing w:after="0"/>
              <w:rPr>
                <w:sz w:val="8"/>
                <w:szCs w:val="8"/>
                <w:color w:val="auto"/>
              </w:rPr>
            </w:pPr>
          </w:p>
        </w:tc>
        <w:tc>
          <w:tcPr>
            <w:tcW w:w="380" w:type="dxa"/>
            <w:vAlign w:val="bottom"/>
          </w:tcPr>
          <w:p>
            <w:pPr>
              <w:jc w:val="right"/>
              <w:ind w:right="77"/>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880" w:type="dxa"/>
            <w:vAlign w:val="bottom"/>
          </w:tcPr>
          <w:p>
            <w:pPr>
              <w:jc w:val="right"/>
              <w:ind w:right="17"/>
              <w:spacing w:after="0" w:line="94" w:lineRule="exact"/>
              <w:rPr>
                <w:sz w:val="20"/>
                <w:szCs w:val="20"/>
                <w:color w:val="auto"/>
              </w:rPr>
            </w:pPr>
            <w:r>
              <w:rPr>
                <w:rFonts w:ascii="Times New Roman" w:cs="Times New Roman" w:eastAsia="Times New Roman" w:hAnsi="Times New Roman"/>
                <w:sz w:val="9"/>
                <w:szCs w:val="9"/>
                <w:color w:val="auto"/>
              </w:rPr>
              <w:t>(4)</w:t>
            </w:r>
          </w:p>
        </w:tc>
        <w:tc>
          <w:tcPr>
            <w:tcW w:w="100" w:type="dxa"/>
            <w:vAlign w:val="bottom"/>
          </w:tcPr>
          <w:p>
            <w:pPr>
              <w:spacing w:after="0"/>
              <w:rPr>
                <w:sz w:val="8"/>
                <w:szCs w:val="8"/>
                <w:color w:val="auto"/>
              </w:rPr>
            </w:pPr>
          </w:p>
        </w:tc>
        <w:tc>
          <w:tcPr>
            <w:tcW w:w="86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72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(4)</w:t>
            </w:r>
          </w:p>
        </w:tc>
      </w:tr>
      <w:tr>
        <w:trPr>
          <w:trHeight w:val="82"/>
        </w:trPr>
        <w:tc>
          <w:tcPr>
            <w:tcW w:w="2560" w:type="dxa"/>
            <w:vAlign w:val="bottom"/>
            <w:tcBorders>
              <w:top w:val="single" w:sz="8" w:color="auto"/>
              <w:bottom w:val="single" w:sz="8" w:color="auto"/>
              <w:right w:val="single" w:sz="8" w:color="auto"/>
            </w:tcBorders>
            <w:shd w:val="clear" w:color="auto" w:fill="CCEEFF"/>
          </w:tcPr>
          <w:p>
            <w:pPr>
              <w:spacing w:after="0" w:line="83" w:lineRule="exact"/>
              <w:rPr>
                <w:sz w:val="20"/>
                <w:szCs w:val="20"/>
                <w:color w:val="auto"/>
              </w:rPr>
            </w:pPr>
            <w:r>
              <w:rPr>
                <w:rFonts w:ascii="Times New Roman" w:cs="Times New Roman" w:eastAsia="Times New Roman" w:hAnsi="Times New Roman"/>
                <w:sz w:val="9"/>
                <w:szCs w:val="9"/>
                <w:color w:val="auto"/>
              </w:rPr>
              <w:t>At June 30, 2024</w:t>
            </w:r>
          </w:p>
        </w:tc>
        <w:tc>
          <w:tcPr>
            <w:tcW w:w="760" w:type="dxa"/>
            <w:vAlign w:val="bottom"/>
            <w:tcBorders>
              <w:top w:val="single" w:sz="8" w:color="auto"/>
              <w:bottom w:val="single" w:sz="8" w:color="auto"/>
              <w:right w:val="single" w:sz="8" w:color="CCEEFF"/>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20,743</w:t>
            </w:r>
          </w:p>
        </w:tc>
        <w:tc>
          <w:tcPr>
            <w:tcW w:w="180" w:type="dxa"/>
            <w:vAlign w:val="bottom"/>
            <w:tcBorders>
              <w:top w:val="single" w:sz="8" w:color="auto"/>
              <w:bottom w:val="single" w:sz="8" w:color="auto"/>
            </w:tcBorders>
            <w:shd w:val="clear" w:color="auto" w:fill="CCEEFF"/>
          </w:tcPr>
          <w:p>
            <w:pPr>
              <w:ind w:left="120"/>
              <w:spacing w:after="0" w:line="83" w:lineRule="exact"/>
              <w:rPr>
                <w:sz w:val="20"/>
                <w:szCs w:val="20"/>
                <w:color w:val="auto"/>
              </w:rPr>
            </w:pPr>
            <w:r>
              <w:rPr>
                <w:rFonts w:ascii="Times New Roman" w:cs="Times New Roman" w:eastAsia="Times New Roman" w:hAnsi="Times New Roman"/>
                <w:sz w:val="9"/>
                <w:szCs w:val="9"/>
                <w:color w:val="auto"/>
                <w:w w:val="87"/>
              </w:rPr>
              <w:t>$</w:t>
            </w:r>
          </w:p>
        </w:tc>
        <w:tc>
          <w:tcPr>
            <w:tcW w:w="300" w:type="dxa"/>
            <w:vAlign w:val="bottom"/>
            <w:tcBorders>
              <w:top w:val="single" w:sz="8" w:color="auto"/>
              <w:bottom w:val="single" w:sz="8" w:color="auto"/>
              <w:right w:val="single" w:sz="8" w:color="auto"/>
            </w:tcBorders>
            <w:shd w:val="clear" w:color="auto" w:fill="CCEEFF"/>
          </w:tcPr>
          <w:p>
            <w:pPr>
              <w:jc w:val="right"/>
              <w:ind w:right="37"/>
              <w:spacing w:after="0" w:line="83" w:lineRule="exact"/>
              <w:rPr>
                <w:sz w:val="20"/>
                <w:szCs w:val="20"/>
                <w:color w:val="auto"/>
              </w:rPr>
            </w:pPr>
            <w:r>
              <w:rPr>
                <w:rFonts w:ascii="Times New Roman" w:cs="Times New Roman" w:eastAsia="Times New Roman" w:hAnsi="Times New Roman"/>
                <w:sz w:val="9"/>
                <w:szCs w:val="9"/>
                <w:color w:val="auto"/>
              </w:rPr>
              <w:t>238</w:t>
            </w:r>
          </w:p>
        </w:tc>
        <w:tc>
          <w:tcPr>
            <w:tcW w:w="520" w:type="dxa"/>
            <w:vAlign w:val="bottom"/>
            <w:tcBorders>
              <w:top w:val="single" w:sz="8" w:color="auto"/>
              <w:bottom w:val="single" w:sz="8" w:color="auto"/>
            </w:tcBorders>
            <w:shd w:val="clear" w:color="auto" w:fill="CCEEFF"/>
          </w:tcPr>
          <w:p>
            <w:pPr>
              <w:spacing w:after="0"/>
              <w:rPr>
                <w:sz w:val="7"/>
                <w:szCs w:val="7"/>
                <w:color w:val="auto"/>
              </w:rPr>
            </w:pPr>
          </w:p>
        </w:tc>
        <w:tc>
          <w:tcPr>
            <w:tcW w:w="240" w:type="dxa"/>
            <w:vAlign w:val="bottom"/>
            <w:tcBorders>
              <w:top w:val="single" w:sz="8" w:color="auto"/>
              <w:bottom w:val="single" w:sz="8" w:color="auto"/>
              <w:right w:val="single" w:sz="8" w:color="CCEEFF"/>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w w:val="98"/>
              </w:rPr>
              <w:t>1,681</w:t>
            </w:r>
          </w:p>
        </w:tc>
        <w:tc>
          <w:tcPr>
            <w:tcW w:w="16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360" w:type="dxa"/>
            <w:vAlign w:val="bottom"/>
            <w:tcBorders>
              <w:top w:val="single" w:sz="8" w:color="auto"/>
              <w:bottom w:val="single" w:sz="8" w:color="auto"/>
              <w:right w:val="single" w:sz="8" w:color="auto"/>
            </w:tcBorders>
            <w:shd w:val="clear" w:color="auto" w:fill="CCEEFF"/>
          </w:tcPr>
          <w:p>
            <w:pPr>
              <w:jc w:val="right"/>
              <w:ind w:right="37"/>
              <w:spacing w:after="0" w:line="83" w:lineRule="exact"/>
              <w:rPr>
                <w:sz w:val="20"/>
                <w:szCs w:val="20"/>
                <w:color w:val="auto"/>
              </w:rPr>
            </w:pPr>
            <w:r>
              <w:rPr>
                <w:rFonts w:ascii="Times New Roman" w:cs="Times New Roman" w:eastAsia="Times New Roman" w:hAnsi="Times New Roman"/>
                <w:sz w:val="9"/>
                <w:szCs w:val="9"/>
                <w:color w:val="auto"/>
              </w:rPr>
              <w:t>17</w:t>
            </w:r>
          </w:p>
        </w:tc>
        <w:tc>
          <w:tcPr>
            <w:tcW w:w="14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Borders>
              <w:top w:val="single" w:sz="8" w:color="auto"/>
              <w:bottom w:val="single" w:sz="8" w:color="auto"/>
            </w:tcBorders>
            <w:shd w:val="clear" w:color="auto" w:fill="CCEEFF"/>
          </w:tcPr>
          <w:p>
            <w:pPr>
              <w:jc w:val="right"/>
              <w:ind w:right="57"/>
              <w:spacing w:after="0" w:line="83" w:lineRule="exact"/>
              <w:rPr>
                <w:sz w:val="20"/>
                <w:szCs w:val="20"/>
                <w:color w:val="auto"/>
              </w:rPr>
            </w:pPr>
            <w:r>
              <w:rPr>
                <w:rFonts w:ascii="Times New Roman" w:cs="Times New Roman" w:eastAsia="Times New Roman" w:hAnsi="Times New Roman"/>
                <w:sz w:val="9"/>
                <w:szCs w:val="9"/>
                <w:color w:val="auto"/>
              </w:rPr>
              <w:t>156,529</w:t>
            </w:r>
          </w:p>
        </w:tc>
        <w:tc>
          <w:tcPr>
            <w:tcW w:w="18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68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(105,523)</w:t>
            </w:r>
          </w:p>
        </w:tc>
        <w:tc>
          <w:tcPr>
            <w:tcW w:w="10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Borders>
              <w:top w:val="single" w:sz="8" w:color="auto"/>
              <w:bottom w:val="single" w:sz="8" w:color="auto"/>
            </w:tcBorders>
            <w:shd w:val="clear" w:color="auto" w:fill="CCEEFF"/>
          </w:tcPr>
          <w:p>
            <w:pPr>
              <w:jc w:val="right"/>
              <w:ind w:right="57"/>
              <w:spacing w:after="0" w:line="83" w:lineRule="exact"/>
              <w:rPr>
                <w:sz w:val="20"/>
                <w:szCs w:val="20"/>
                <w:color w:val="auto"/>
              </w:rPr>
            </w:pPr>
            <w:r>
              <w:rPr>
                <w:rFonts w:ascii="Times New Roman" w:cs="Times New Roman" w:eastAsia="Times New Roman" w:hAnsi="Times New Roman"/>
                <w:sz w:val="9"/>
                <w:szCs w:val="9"/>
                <w:color w:val="auto"/>
              </w:rPr>
              <w:t>(40,407)</w:t>
            </w:r>
          </w:p>
        </w:tc>
        <w:tc>
          <w:tcPr>
            <w:tcW w:w="640" w:type="dxa"/>
            <w:vAlign w:val="bottom"/>
            <w:tcBorders>
              <w:top w:val="single" w:sz="8" w:color="auto"/>
              <w:bottom w:val="single" w:sz="8" w:color="auto"/>
            </w:tcBorders>
            <w:shd w:val="clear" w:color="auto" w:fill="CCEEFF"/>
          </w:tcPr>
          <w:p>
            <w:pPr>
              <w:ind w:left="120"/>
              <w:spacing w:after="0" w:line="83"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Borders>
              <w:top w:val="single" w:sz="8" w:color="auto"/>
              <w:bottom w:val="single" w:sz="8" w:color="auto"/>
            </w:tcBorders>
            <w:shd w:val="clear" w:color="auto" w:fill="CCEEFF"/>
          </w:tcPr>
          <w:p>
            <w:pPr>
              <w:jc w:val="right"/>
              <w:ind w:right="77"/>
              <w:spacing w:after="0" w:line="83" w:lineRule="exact"/>
              <w:rPr>
                <w:sz w:val="20"/>
                <w:szCs w:val="20"/>
                <w:color w:val="auto"/>
              </w:rPr>
            </w:pPr>
            <w:r>
              <w:rPr>
                <w:rFonts w:ascii="Times New Roman" w:cs="Times New Roman" w:eastAsia="Times New Roman" w:hAnsi="Times New Roman"/>
                <w:sz w:val="9"/>
                <w:szCs w:val="9"/>
                <w:color w:val="auto"/>
                <w:w w:val="91"/>
              </w:rPr>
              <w:t>(4,325)</w:t>
            </w:r>
          </w:p>
        </w:tc>
        <w:tc>
          <w:tcPr>
            <w:tcW w:w="18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tcBorders>
              <w:top w:val="single" w:sz="8" w:color="auto"/>
              <w:bottom w:val="single" w:sz="8" w:color="auto"/>
            </w:tcBorders>
            <w:shd w:val="clear" w:color="auto" w:fill="CCEEFF"/>
          </w:tcPr>
          <w:p>
            <w:pPr>
              <w:jc w:val="right"/>
              <w:ind w:right="17"/>
              <w:spacing w:after="0" w:line="83" w:lineRule="exact"/>
              <w:rPr>
                <w:sz w:val="20"/>
                <w:szCs w:val="20"/>
                <w:color w:val="auto"/>
              </w:rPr>
            </w:pPr>
            <w:r>
              <w:rPr>
                <w:rFonts w:ascii="Times New Roman" w:cs="Times New Roman" w:eastAsia="Times New Roman" w:hAnsi="Times New Roman"/>
                <w:sz w:val="9"/>
                <w:szCs w:val="9"/>
                <w:color w:val="auto"/>
              </w:rPr>
              <w:t>6,529</w:t>
            </w:r>
          </w:p>
        </w:tc>
        <w:tc>
          <w:tcPr>
            <w:tcW w:w="10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86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(463)</w:t>
            </w:r>
          </w:p>
        </w:tc>
        <w:tc>
          <w:tcPr>
            <w:tcW w:w="10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70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6,066</w:t>
            </w:r>
          </w:p>
        </w:tc>
        <w:tc>
          <w:tcPr>
            <w:tcW w:w="20" w:type="dxa"/>
            <w:vAlign w:val="bottom"/>
          </w:tcPr>
          <w:p>
            <w:pPr>
              <w:spacing w:after="0"/>
              <w:rPr>
                <w:sz w:val="7"/>
                <w:szCs w:val="7"/>
                <w:color w:val="auto"/>
              </w:rPr>
            </w:pPr>
          </w:p>
        </w:tc>
      </w:tr>
      <w:tr>
        <w:trPr>
          <w:trHeight w:val="92"/>
        </w:trPr>
        <w:tc>
          <w:tcPr>
            <w:tcW w:w="2560" w:type="dxa"/>
            <w:vAlign w:val="bottom"/>
            <w:tcBorders>
              <w:right w:val="single" w:sz="8" w:color="auto"/>
            </w:tcBorders>
          </w:tcPr>
          <w:p>
            <w:pPr>
              <w:spacing w:after="0" w:line="92" w:lineRule="exact"/>
              <w:rPr>
                <w:sz w:val="20"/>
                <w:szCs w:val="20"/>
                <w:color w:val="auto"/>
              </w:rPr>
            </w:pPr>
            <w:r>
              <w:rPr>
                <w:rFonts w:ascii="Times New Roman" w:cs="Times New Roman" w:eastAsia="Times New Roman" w:hAnsi="Times New Roman"/>
                <w:sz w:val="9"/>
                <w:szCs w:val="9"/>
                <w:color w:val="auto"/>
              </w:rPr>
              <w:t>Net income</w:t>
            </w:r>
          </w:p>
        </w:tc>
        <w:tc>
          <w:tcPr>
            <w:tcW w:w="760" w:type="dxa"/>
            <w:vAlign w:val="bottom"/>
          </w:tcPr>
          <w:p>
            <w:pPr>
              <w:jc w:val="right"/>
              <w:spacing w:after="0" w:line="92"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7"/>
                <w:szCs w:val="7"/>
                <w:color w:val="auto"/>
              </w:rPr>
            </w:pPr>
          </w:p>
        </w:tc>
        <w:tc>
          <w:tcPr>
            <w:tcW w:w="300" w:type="dxa"/>
            <w:vAlign w:val="bottom"/>
            <w:tcBorders>
              <w:right w:val="single" w:sz="8" w:color="auto"/>
            </w:tcBorders>
          </w:tcPr>
          <w:p>
            <w:pPr>
              <w:jc w:val="right"/>
              <w:ind w:right="37"/>
              <w:spacing w:after="0" w:line="92"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spacing w:after="0"/>
              <w:rPr>
                <w:sz w:val="7"/>
                <w:szCs w:val="7"/>
                <w:color w:val="auto"/>
              </w:rPr>
            </w:pPr>
          </w:p>
        </w:tc>
        <w:tc>
          <w:tcPr>
            <w:tcW w:w="240" w:type="dxa"/>
            <w:vAlign w:val="bottom"/>
          </w:tcPr>
          <w:p>
            <w:pPr>
              <w:jc w:val="right"/>
              <w:spacing w:after="0" w:line="92"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7"/>
                <w:szCs w:val="7"/>
                <w:color w:val="auto"/>
              </w:rPr>
            </w:pPr>
          </w:p>
        </w:tc>
        <w:tc>
          <w:tcPr>
            <w:tcW w:w="360" w:type="dxa"/>
            <w:vAlign w:val="bottom"/>
            <w:tcBorders>
              <w:right w:val="single" w:sz="8" w:color="auto"/>
            </w:tcBorders>
          </w:tcPr>
          <w:p>
            <w:pPr>
              <w:jc w:val="right"/>
              <w:ind w:right="37"/>
              <w:spacing w:after="0" w:line="92"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640" w:type="dxa"/>
            <w:vAlign w:val="bottom"/>
          </w:tcPr>
          <w:p>
            <w:pPr>
              <w:jc w:val="right"/>
              <w:ind w:right="57"/>
              <w:spacing w:after="0" w:line="92"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7"/>
                <w:szCs w:val="7"/>
                <w:color w:val="auto"/>
              </w:rPr>
            </w:pPr>
          </w:p>
        </w:tc>
        <w:tc>
          <w:tcPr>
            <w:tcW w:w="680" w:type="dxa"/>
            <w:vAlign w:val="bottom"/>
          </w:tcPr>
          <w:p>
            <w:pPr>
              <w:jc w:val="right"/>
              <w:spacing w:after="0" w:line="92" w:lineRule="exact"/>
              <w:rPr>
                <w:sz w:val="20"/>
                <w:szCs w:val="20"/>
                <w:color w:val="auto"/>
              </w:rPr>
            </w:pPr>
            <w:r>
              <w:rPr>
                <w:rFonts w:ascii="Times New Roman" w:cs="Times New Roman" w:eastAsia="Times New Roman" w:hAnsi="Times New Roman"/>
                <w:sz w:val="9"/>
                <w:szCs w:val="9"/>
                <w:color w:val="auto"/>
              </w:rPr>
              <w:t>(7,028)</w:t>
            </w:r>
          </w:p>
        </w:tc>
        <w:tc>
          <w:tcPr>
            <w:tcW w:w="100" w:type="dxa"/>
            <w:vAlign w:val="bottom"/>
          </w:tcPr>
          <w:p>
            <w:pPr>
              <w:spacing w:after="0"/>
              <w:rPr>
                <w:sz w:val="7"/>
                <w:szCs w:val="7"/>
                <w:color w:val="auto"/>
              </w:rPr>
            </w:pPr>
          </w:p>
        </w:tc>
        <w:tc>
          <w:tcPr>
            <w:tcW w:w="640" w:type="dxa"/>
            <w:vAlign w:val="bottom"/>
          </w:tcPr>
          <w:p>
            <w:pPr>
              <w:jc w:val="right"/>
              <w:ind w:right="57"/>
              <w:spacing w:after="0" w:line="92"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spacing w:after="0"/>
              <w:rPr>
                <w:sz w:val="7"/>
                <w:szCs w:val="7"/>
                <w:color w:val="auto"/>
              </w:rPr>
            </w:pPr>
          </w:p>
        </w:tc>
        <w:tc>
          <w:tcPr>
            <w:tcW w:w="380" w:type="dxa"/>
            <w:vAlign w:val="bottom"/>
          </w:tcPr>
          <w:p>
            <w:pPr>
              <w:jc w:val="right"/>
              <w:ind w:right="77"/>
              <w:spacing w:after="0" w:line="92"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7"/>
                <w:szCs w:val="7"/>
                <w:color w:val="auto"/>
              </w:rPr>
            </w:pPr>
          </w:p>
        </w:tc>
        <w:tc>
          <w:tcPr>
            <w:tcW w:w="880" w:type="dxa"/>
            <w:vAlign w:val="bottom"/>
          </w:tcPr>
          <w:p>
            <w:pPr>
              <w:jc w:val="right"/>
              <w:ind w:right="17"/>
              <w:spacing w:after="0" w:line="92" w:lineRule="exact"/>
              <w:rPr>
                <w:sz w:val="20"/>
                <w:szCs w:val="20"/>
                <w:color w:val="auto"/>
              </w:rPr>
            </w:pPr>
            <w:r>
              <w:rPr>
                <w:rFonts w:ascii="Times New Roman" w:cs="Times New Roman" w:eastAsia="Times New Roman" w:hAnsi="Times New Roman"/>
                <w:sz w:val="9"/>
                <w:szCs w:val="9"/>
                <w:color w:val="auto"/>
              </w:rPr>
              <w:t>(7,028)</w:t>
            </w:r>
          </w:p>
        </w:tc>
        <w:tc>
          <w:tcPr>
            <w:tcW w:w="100" w:type="dxa"/>
            <w:vAlign w:val="bottom"/>
          </w:tcPr>
          <w:p>
            <w:pPr>
              <w:spacing w:after="0"/>
              <w:rPr>
                <w:sz w:val="7"/>
                <w:szCs w:val="7"/>
                <w:color w:val="auto"/>
              </w:rPr>
            </w:pPr>
          </w:p>
        </w:tc>
        <w:tc>
          <w:tcPr>
            <w:tcW w:w="860" w:type="dxa"/>
            <w:vAlign w:val="bottom"/>
          </w:tcPr>
          <w:p>
            <w:pPr>
              <w:jc w:val="right"/>
              <w:spacing w:after="0" w:line="92" w:lineRule="exact"/>
              <w:rPr>
                <w:sz w:val="20"/>
                <w:szCs w:val="20"/>
                <w:color w:val="auto"/>
              </w:rPr>
            </w:pPr>
            <w:r>
              <w:rPr>
                <w:rFonts w:ascii="Times New Roman" w:cs="Times New Roman" w:eastAsia="Times New Roman" w:hAnsi="Times New Roman"/>
                <w:sz w:val="9"/>
                <w:szCs w:val="9"/>
                <w:color w:val="auto"/>
              </w:rPr>
              <w:t>(111)</w:t>
            </w:r>
          </w:p>
        </w:tc>
        <w:tc>
          <w:tcPr>
            <w:tcW w:w="100" w:type="dxa"/>
            <w:vAlign w:val="bottom"/>
          </w:tcPr>
          <w:p>
            <w:pPr>
              <w:spacing w:after="0"/>
              <w:rPr>
                <w:sz w:val="7"/>
                <w:szCs w:val="7"/>
                <w:color w:val="auto"/>
              </w:rPr>
            </w:pPr>
          </w:p>
        </w:tc>
        <w:tc>
          <w:tcPr>
            <w:tcW w:w="700" w:type="dxa"/>
            <w:vAlign w:val="bottom"/>
          </w:tcPr>
          <w:p>
            <w:pPr>
              <w:jc w:val="right"/>
              <w:spacing w:after="0" w:line="92" w:lineRule="exact"/>
              <w:rPr>
                <w:sz w:val="20"/>
                <w:szCs w:val="20"/>
                <w:color w:val="auto"/>
              </w:rPr>
            </w:pPr>
            <w:r>
              <w:rPr>
                <w:rFonts w:ascii="Times New Roman" w:cs="Times New Roman" w:eastAsia="Times New Roman" w:hAnsi="Times New Roman"/>
                <w:sz w:val="9"/>
                <w:szCs w:val="9"/>
                <w:color w:val="auto"/>
              </w:rPr>
              <w:t>(7,139)</w:t>
            </w:r>
          </w:p>
        </w:tc>
        <w:tc>
          <w:tcPr>
            <w:tcW w:w="20" w:type="dxa"/>
            <w:vAlign w:val="bottom"/>
          </w:tcPr>
          <w:p>
            <w:pPr>
              <w:spacing w:after="0"/>
              <w:rPr>
                <w:sz w:val="7"/>
                <w:szCs w:val="7"/>
                <w:color w:val="auto"/>
              </w:rPr>
            </w:pPr>
          </w:p>
        </w:tc>
      </w:tr>
      <w:tr>
        <w:trPr>
          <w:trHeight w:val="93"/>
        </w:trPr>
        <w:tc>
          <w:tcPr>
            <w:tcW w:w="2560" w:type="dxa"/>
            <w:vAlign w:val="bottom"/>
            <w:tcBorders>
              <w:right w:val="single" w:sz="8" w:color="auto"/>
            </w:tcBorders>
            <w:shd w:val="clear" w:color="auto" w:fill="CCEEFF"/>
          </w:tcPr>
          <w:p>
            <w:pPr>
              <w:spacing w:after="0" w:line="94" w:lineRule="exact"/>
              <w:rPr>
                <w:sz w:val="20"/>
                <w:szCs w:val="20"/>
                <w:color w:val="auto"/>
              </w:rPr>
            </w:pPr>
            <w:r>
              <w:rPr>
                <w:rFonts w:ascii="Times New Roman" w:cs="Times New Roman" w:eastAsia="Times New Roman" w:hAnsi="Times New Roman"/>
                <w:sz w:val="9"/>
                <w:szCs w:val="9"/>
                <w:color w:val="auto"/>
              </w:rPr>
              <w:t>Other comprehensive income, net</w:t>
            </w:r>
          </w:p>
        </w:tc>
        <w:tc>
          <w:tcPr>
            <w:tcW w:w="760" w:type="dxa"/>
            <w:vAlign w:val="bottom"/>
            <w:tcBorders>
              <w:right w:val="single" w:sz="8" w:color="CCEEFF"/>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300" w:type="dxa"/>
            <w:vAlign w:val="bottom"/>
            <w:tcBorders>
              <w:right w:val="single" w:sz="8" w:color="auto"/>
            </w:tcBorders>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8"/>
                <w:szCs w:val="8"/>
                <w:color w:val="auto"/>
              </w:rPr>
            </w:pPr>
          </w:p>
        </w:tc>
        <w:tc>
          <w:tcPr>
            <w:tcW w:w="360" w:type="dxa"/>
            <w:vAlign w:val="bottom"/>
            <w:tcBorders>
              <w:right w:val="single" w:sz="8" w:color="auto"/>
            </w:tcBorders>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shd w:val="clear" w:color="auto" w:fill="CCEEFF"/>
          </w:tcPr>
          <w:p>
            <w:pPr>
              <w:spacing w:after="0"/>
              <w:rPr>
                <w:sz w:val="8"/>
                <w:szCs w:val="8"/>
                <w:color w:val="auto"/>
              </w:rPr>
            </w:pPr>
          </w:p>
        </w:tc>
        <w:tc>
          <w:tcPr>
            <w:tcW w:w="380" w:type="dxa"/>
            <w:vAlign w:val="bottom"/>
            <w:shd w:val="clear" w:color="auto" w:fill="CCEEFF"/>
          </w:tcPr>
          <w:p>
            <w:pPr>
              <w:jc w:val="right"/>
              <w:ind w:right="77"/>
              <w:spacing w:after="0" w:line="94" w:lineRule="exact"/>
              <w:rPr>
                <w:sz w:val="20"/>
                <w:szCs w:val="20"/>
                <w:color w:val="auto"/>
              </w:rPr>
            </w:pPr>
            <w:r>
              <w:rPr>
                <w:rFonts w:ascii="Times New Roman" w:cs="Times New Roman" w:eastAsia="Times New Roman" w:hAnsi="Times New Roman"/>
                <w:sz w:val="9"/>
                <w:szCs w:val="9"/>
                <w:color w:val="auto"/>
              </w:rPr>
              <w:t>1,494</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ind w:right="17"/>
              <w:spacing w:after="0" w:line="94" w:lineRule="exact"/>
              <w:rPr>
                <w:sz w:val="20"/>
                <w:szCs w:val="20"/>
                <w:color w:val="auto"/>
              </w:rPr>
            </w:pPr>
            <w:r>
              <w:rPr>
                <w:rFonts w:ascii="Times New Roman" w:cs="Times New Roman" w:eastAsia="Times New Roman" w:hAnsi="Times New Roman"/>
                <w:sz w:val="9"/>
                <w:szCs w:val="9"/>
                <w:color w:val="auto"/>
              </w:rPr>
              <w:t>1,494</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5</w:t>
            </w: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1,499</w:t>
            </w:r>
          </w:p>
        </w:tc>
      </w:tr>
      <w:tr>
        <w:trPr>
          <w:trHeight w:val="93"/>
        </w:trPr>
        <w:tc>
          <w:tcPr>
            <w:tcW w:w="2560" w:type="dxa"/>
            <w:vAlign w:val="bottom"/>
            <w:tcBorders>
              <w:right w:val="single" w:sz="8" w:color="auto"/>
            </w:tcBorders>
          </w:tcPr>
          <w:p>
            <w:pPr>
              <w:spacing w:after="0" w:line="94" w:lineRule="exact"/>
              <w:rPr>
                <w:sz w:val="20"/>
                <w:szCs w:val="20"/>
                <w:color w:val="auto"/>
              </w:rPr>
            </w:pPr>
            <w:r>
              <w:rPr>
                <w:rFonts w:ascii="Times New Roman" w:cs="Times New Roman" w:eastAsia="Times New Roman" w:hAnsi="Times New Roman"/>
                <w:sz w:val="9"/>
                <w:szCs w:val="9"/>
                <w:color w:val="auto"/>
              </w:rPr>
              <w:t>Share-based compensation expense</w:t>
            </w:r>
          </w:p>
        </w:tc>
        <w:tc>
          <w:tcPr>
            <w:tcW w:w="76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300" w:type="dxa"/>
            <w:vAlign w:val="bottom"/>
            <w:tcBorders>
              <w:right w:val="single" w:sz="8" w:color="auto"/>
            </w:tcBorders>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spacing w:after="0"/>
              <w:rPr>
                <w:sz w:val="8"/>
                <w:szCs w:val="8"/>
                <w:color w:val="auto"/>
              </w:rPr>
            </w:pPr>
          </w:p>
        </w:tc>
        <w:tc>
          <w:tcPr>
            <w:tcW w:w="24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360" w:type="dxa"/>
            <w:vAlign w:val="bottom"/>
            <w:tcBorders>
              <w:right w:val="single" w:sz="8" w:color="auto"/>
            </w:tcBorders>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6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603</w:t>
            </w:r>
          </w:p>
        </w:tc>
        <w:tc>
          <w:tcPr>
            <w:tcW w:w="180" w:type="dxa"/>
            <w:vAlign w:val="bottom"/>
          </w:tcPr>
          <w:p>
            <w:pPr>
              <w:spacing w:after="0"/>
              <w:rPr>
                <w:sz w:val="8"/>
                <w:szCs w:val="8"/>
                <w:color w:val="auto"/>
              </w:rPr>
            </w:pP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spacing w:after="0"/>
              <w:rPr>
                <w:sz w:val="8"/>
                <w:szCs w:val="8"/>
                <w:color w:val="auto"/>
              </w:rPr>
            </w:pPr>
          </w:p>
        </w:tc>
        <w:tc>
          <w:tcPr>
            <w:tcW w:w="380" w:type="dxa"/>
            <w:vAlign w:val="bottom"/>
          </w:tcPr>
          <w:p>
            <w:pPr>
              <w:jc w:val="right"/>
              <w:ind w:right="77"/>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880" w:type="dxa"/>
            <w:vAlign w:val="bottom"/>
          </w:tcPr>
          <w:p>
            <w:pPr>
              <w:jc w:val="right"/>
              <w:ind w:right="17"/>
              <w:spacing w:after="0" w:line="94" w:lineRule="exact"/>
              <w:rPr>
                <w:sz w:val="20"/>
                <w:szCs w:val="20"/>
                <w:color w:val="auto"/>
              </w:rPr>
            </w:pPr>
            <w:r>
              <w:rPr>
                <w:rFonts w:ascii="Times New Roman" w:cs="Times New Roman" w:eastAsia="Times New Roman" w:hAnsi="Times New Roman"/>
                <w:sz w:val="9"/>
                <w:szCs w:val="9"/>
                <w:color w:val="auto"/>
              </w:rPr>
              <w:t>603</w:t>
            </w:r>
          </w:p>
        </w:tc>
        <w:tc>
          <w:tcPr>
            <w:tcW w:w="100" w:type="dxa"/>
            <w:vAlign w:val="bottom"/>
          </w:tcPr>
          <w:p>
            <w:pPr>
              <w:spacing w:after="0"/>
              <w:rPr>
                <w:sz w:val="8"/>
                <w:szCs w:val="8"/>
                <w:color w:val="auto"/>
              </w:rPr>
            </w:pPr>
          </w:p>
        </w:tc>
        <w:tc>
          <w:tcPr>
            <w:tcW w:w="86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72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603</w:t>
            </w:r>
          </w:p>
        </w:tc>
      </w:tr>
      <w:tr>
        <w:trPr>
          <w:trHeight w:val="93"/>
        </w:trPr>
        <w:tc>
          <w:tcPr>
            <w:tcW w:w="2560" w:type="dxa"/>
            <w:vAlign w:val="bottom"/>
            <w:tcBorders>
              <w:right w:val="single" w:sz="8" w:color="auto"/>
            </w:tcBorders>
            <w:shd w:val="clear" w:color="auto" w:fill="CCEEFF"/>
          </w:tcPr>
          <w:p>
            <w:pPr>
              <w:spacing w:after="0" w:line="94" w:lineRule="exact"/>
              <w:rPr>
                <w:sz w:val="20"/>
                <w:szCs w:val="20"/>
                <w:color w:val="auto"/>
              </w:rPr>
            </w:pPr>
            <w:r>
              <w:rPr>
                <w:rFonts w:ascii="Times New Roman" w:cs="Times New Roman" w:eastAsia="Times New Roman" w:hAnsi="Times New Roman"/>
                <w:sz w:val="9"/>
                <w:szCs w:val="9"/>
                <w:color w:val="auto"/>
              </w:rPr>
              <w:t>Restricted Stock Units</w:t>
            </w:r>
          </w:p>
        </w:tc>
        <w:tc>
          <w:tcPr>
            <w:tcW w:w="760" w:type="dxa"/>
            <w:vAlign w:val="bottom"/>
            <w:tcBorders>
              <w:right w:val="single" w:sz="8" w:color="CCEEFF"/>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300" w:type="dxa"/>
            <w:vAlign w:val="bottom"/>
            <w:tcBorders>
              <w:right w:val="single" w:sz="8" w:color="auto"/>
            </w:tcBorders>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8"/>
                <w:szCs w:val="8"/>
                <w:color w:val="auto"/>
              </w:rPr>
            </w:pPr>
          </w:p>
        </w:tc>
        <w:tc>
          <w:tcPr>
            <w:tcW w:w="360" w:type="dxa"/>
            <w:vAlign w:val="bottom"/>
            <w:tcBorders>
              <w:right w:val="single" w:sz="8" w:color="auto"/>
            </w:tcBorders>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shd w:val="clear" w:color="auto" w:fill="CCEEFF"/>
          </w:tcPr>
          <w:p>
            <w:pPr>
              <w:spacing w:after="0"/>
              <w:rPr>
                <w:sz w:val="8"/>
                <w:szCs w:val="8"/>
                <w:color w:val="auto"/>
              </w:rPr>
            </w:pPr>
          </w:p>
        </w:tc>
        <w:tc>
          <w:tcPr>
            <w:tcW w:w="380" w:type="dxa"/>
            <w:vAlign w:val="bottom"/>
            <w:shd w:val="clear" w:color="auto" w:fill="CCEEFF"/>
          </w:tcPr>
          <w:p>
            <w:pPr>
              <w:jc w:val="right"/>
              <w:ind w:right="77"/>
              <w:spacing w:after="0" w:line="94"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jc w:val="right"/>
              <w:ind w:right="17"/>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w:t>
            </w:r>
          </w:p>
        </w:tc>
      </w:tr>
      <w:tr>
        <w:trPr>
          <w:trHeight w:val="82"/>
        </w:trPr>
        <w:tc>
          <w:tcPr>
            <w:tcW w:w="2560" w:type="dxa"/>
            <w:vAlign w:val="bottom"/>
            <w:tcBorders>
              <w:top w:val="single" w:sz="8" w:color="auto"/>
              <w:bottom w:val="single" w:sz="8" w:color="auto"/>
              <w:right w:val="single" w:sz="8" w:color="auto"/>
            </w:tcBorders>
          </w:tcPr>
          <w:p>
            <w:pPr>
              <w:spacing w:after="0" w:line="83" w:lineRule="exact"/>
              <w:rPr>
                <w:sz w:val="20"/>
                <w:szCs w:val="20"/>
                <w:color w:val="auto"/>
              </w:rPr>
            </w:pPr>
            <w:r>
              <w:rPr>
                <w:rFonts w:ascii="Times New Roman" w:cs="Times New Roman" w:eastAsia="Times New Roman" w:hAnsi="Times New Roman"/>
                <w:sz w:val="9"/>
                <w:szCs w:val="9"/>
                <w:color w:val="auto"/>
              </w:rPr>
              <w:t>At September 30, 2024</w:t>
            </w:r>
          </w:p>
        </w:tc>
        <w:tc>
          <w:tcPr>
            <w:tcW w:w="76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20,743</w:t>
            </w:r>
          </w:p>
        </w:tc>
        <w:tc>
          <w:tcPr>
            <w:tcW w:w="180" w:type="dxa"/>
            <w:vAlign w:val="bottom"/>
            <w:tcBorders>
              <w:top w:val="single" w:sz="8" w:color="auto"/>
              <w:bottom w:val="single" w:sz="8" w:color="auto"/>
            </w:tcBorders>
          </w:tcPr>
          <w:p>
            <w:pPr>
              <w:ind w:left="120"/>
              <w:spacing w:after="0" w:line="83" w:lineRule="exact"/>
              <w:rPr>
                <w:sz w:val="20"/>
                <w:szCs w:val="20"/>
                <w:color w:val="auto"/>
              </w:rPr>
            </w:pPr>
            <w:r>
              <w:rPr>
                <w:rFonts w:ascii="Times New Roman" w:cs="Times New Roman" w:eastAsia="Times New Roman" w:hAnsi="Times New Roman"/>
                <w:sz w:val="9"/>
                <w:szCs w:val="9"/>
                <w:color w:val="auto"/>
                <w:w w:val="87"/>
              </w:rPr>
              <w:t>$</w:t>
            </w:r>
          </w:p>
        </w:tc>
        <w:tc>
          <w:tcPr>
            <w:tcW w:w="300" w:type="dxa"/>
            <w:vAlign w:val="bottom"/>
            <w:tcBorders>
              <w:top w:val="single" w:sz="8" w:color="auto"/>
              <w:bottom w:val="single" w:sz="8" w:color="auto"/>
              <w:right w:val="single" w:sz="8" w:color="auto"/>
            </w:tcBorders>
          </w:tcPr>
          <w:p>
            <w:pPr>
              <w:jc w:val="right"/>
              <w:ind w:right="37"/>
              <w:spacing w:after="0" w:line="83" w:lineRule="exact"/>
              <w:rPr>
                <w:sz w:val="20"/>
                <w:szCs w:val="20"/>
                <w:color w:val="auto"/>
              </w:rPr>
            </w:pPr>
            <w:r>
              <w:rPr>
                <w:rFonts w:ascii="Times New Roman" w:cs="Times New Roman" w:eastAsia="Times New Roman" w:hAnsi="Times New Roman"/>
                <w:sz w:val="9"/>
                <w:szCs w:val="9"/>
                <w:color w:val="auto"/>
              </w:rPr>
              <w:t>238</w:t>
            </w:r>
          </w:p>
        </w:tc>
        <w:tc>
          <w:tcPr>
            <w:tcW w:w="520" w:type="dxa"/>
            <w:vAlign w:val="bottom"/>
            <w:tcBorders>
              <w:top w:val="single" w:sz="8" w:color="auto"/>
              <w:bottom w:val="single" w:sz="8" w:color="auto"/>
            </w:tcBorders>
          </w:tcPr>
          <w:p>
            <w:pPr>
              <w:spacing w:after="0"/>
              <w:rPr>
                <w:sz w:val="7"/>
                <w:szCs w:val="7"/>
                <w:color w:val="auto"/>
              </w:rPr>
            </w:pPr>
          </w:p>
        </w:tc>
        <w:tc>
          <w:tcPr>
            <w:tcW w:w="24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w w:val="98"/>
              </w:rPr>
              <w:t>1,681</w:t>
            </w:r>
          </w:p>
        </w:tc>
        <w:tc>
          <w:tcPr>
            <w:tcW w:w="16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360" w:type="dxa"/>
            <w:vAlign w:val="bottom"/>
            <w:tcBorders>
              <w:top w:val="single" w:sz="8" w:color="auto"/>
              <w:bottom w:val="single" w:sz="8" w:color="auto"/>
              <w:right w:val="single" w:sz="8" w:color="auto"/>
            </w:tcBorders>
          </w:tcPr>
          <w:p>
            <w:pPr>
              <w:jc w:val="right"/>
              <w:ind w:right="37"/>
              <w:spacing w:after="0" w:line="83" w:lineRule="exact"/>
              <w:rPr>
                <w:sz w:val="20"/>
                <w:szCs w:val="20"/>
                <w:color w:val="auto"/>
              </w:rPr>
            </w:pPr>
            <w:r>
              <w:rPr>
                <w:rFonts w:ascii="Times New Roman" w:cs="Times New Roman" w:eastAsia="Times New Roman" w:hAnsi="Times New Roman"/>
                <w:sz w:val="9"/>
                <w:szCs w:val="9"/>
                <w:color w:val="auto"/>
              </w:rPr>
              <w:t>17</w:t>
            </w:r>
          </w:p>
        </w:tc>
        <w:tc>
          <w:tcPr>
            <w:tcW w:w="14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Borders>
              <w:top w:val="single" w:sz="8" w:color="auto"/>
              <w:bottom w:val="single" w:sz="8" w:color="auto"/>
            </w:tcBorders>
          </w:tcPr>
          <w:p>
            <w:pPr>
              <w:jc w:val="right"/>
              <w:ind w:right="57"/>
              <w:spacing w:after="0" w:line="83" w:lineRule="exact"/>
              <w:rPr>
                <w:sz w:val="20"/>
                <w:szCs w:val="20"/>
                <w:color w:val="auto"/>
              </w:rPr>
            </w:pPr>
            <w:r>
              <w:rPr>
                <w:rFonts w:ascii="Times New Roman" w:cs="Times New Roman" w:eastAsia="Times New Roman" w:hAnsi="Times New Roman"/>
                <w:sz w:val="9"/>
                <w:szCs w:val="9"/>
                <w:color w:val="auto"/>
              </w:rPr>
              <w:t>157,132</w:t>
            </w:r>
          </w:p>
        </w:tc>
        <w:tc>
          <w:tcPr>
            <w:tcW w:w="18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68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(112,551)</w:t>
            </w:r>
          </w:p>
        </w:tc>
        <w:tc>
          <w:tcPr>
            <w:tcW w:w="10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Borders>
              <w:top w:val="single" w:sz="8" w:color="auto"/>
              <w:bottom w:val="single" w:sz="8" w:color="auto"/>
            </w:tcBorders>
          </w:tcPr>
          <w:p>
            <w:pPr>
              <w:jc w:val="right"/>
              <w:ind w:right="57"/>
              <w:spacing w:after="0" w:line="83" w:lineRule="exact"/>
              <w:rPr>
                <w:sz w:val="20"/>
                <w:szCs w:val="20"/>
                <w:color w:val="auto"/>
              </w:rPr>
            </w:pPr>
            <w:r>
              <w:rPr>
                <w:rFonts w:ascii="Times New Roman" w:cs="Times New Roman" w:eastAsia="Times New Roman" w:hAnsi="Times New Roman"/>
                <w:sz w:val="9"/>
                <w:szCs w:val="9"/>
                <w:color w:val="auto"/>
              </w:rPr>
              <w:t>(40,407)</w:t>
            </w:r>
          </w:p>
        </w:tc>
        <w:tc>
          <w:tcPr>
            <w:tcW w:w="640" w:type="dxa"/>
            <w:vAlign w:val="bottom"/>
            <w:tcBorders>
              <w:top w:val="single" w:sz="8" w:color="auto"/>
              <w:bottom w:val="single" w:sz="8" w:color="auto"/>
            </w:tcBorders>
          </w:tcPr>
          <w:p>
            <w:pPr>
              <w:ind w:left="120"/>
              <w:spacing w:after="0" w:line="83"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Borders>
              <w:top w:val="single" w:sz="8" w:color="auto"/>
              <w:bottom w:val="single" w:sz="8" w:color="auto"/>
            </w:tcBorders>
          </w:tcPr>
          <w:p>
            <w:pPr>
              <w:jc w:val="right"/>
              <w:ind w:right="77"/>
              <w:spacing w:after="0" w:line="83" w:lineRule="exact"/>
              <w:rPr>
                <w:sz w:val="20"/>
                <w:szCs w:val="20"/>
                <w:color w:val="auto"/>
              </w:rPr>
            </w:pPr>
            <w:r>
              <w:rPr>
                <w:rFonts w:ascii="Times New Roman" w:cs="Times New Roman" w:eastAsia="Times New Roman" w:hAnsi="Times New Roman"/>
                <w:sz w:val="9"/>
                <w:szCs w:val="9"/>
                <w:color w:val="auto"/>
                <w:w w:val="91"/>
              </w:rPr>
              <w:t>(2,831)</w:t>
            </w:r>
          </w:p>
        </w:tc>
        <w:tc>
          <w:tcPr>
            <w:tcW w:w="18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880" w:type="dxa"/>
            <w:vAlign w:val="bottom"/>
            <w:tcBorders>
              <w:top w:val="single" w:sz="8" w:color="auto"/>
              <w:bottom w:val="single" w:sz="8" w:color="auto"/>
            </w:tcBorders>
          </w:tcPr>
          <w:p>
            <w:pPr>
              <w:jc w:val="right"/>
              <w:ind w:right="17"/>
              <w:spacing w:after="0" w:line="83" w:lineRule="exact"/>
              <w:rPr>
                <w:sz w:val="20"/>
                <w:szCs w:val="20"/>
                <w:color w:val="auto"/>
              </w:rPr>
            </w:pPr>
            <w:r>
              <w:rPr>
                <w:rFonts w:ascii="Times New Roman" w:cs="Times New Roman" w:eastAsia="Times New Roman" w:hAnsi="Times New Roman"/>
                <w:sz w:val="9"/>
                <w:szCs w:val="9"/>
                <w:color w:val="auto"/>
              </w:rPr>
              <w:t>1,598</w:t>
            </w:r>
          </w:p>
        </w:tc>
        <w:tc>
          <w:tcPr>
            <w:tcW w:w="10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86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(569)</w:t>
            </w:r>
          </w:p>
        </w:tc>
        <w:tc>
          <w:tcPr>
            <w:tcW w:w="10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w:t>
            </w:r>
          </w:p>
        </w:tc>
        <w:tc>
          <w:tcPr>
            <w:tcW w:w="70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1,029</w:t>
            </w:r>
          </w:p>
        </w:tc>
        <w:tc>
          <w:tcPr>
            <w:tcW w:w="20" w:type="dxa"/>
            <w:vAlign w:val="bottom"/>
            <w:tcBorders>
              <w:bottom w:val="single" w:sz="8" w:color="auto"/>
            </w:tcBorders>
          </w:tcPr>
          <w:p>
            <w:pPr>
              <w:spacing w:after="0"/>
              <w:rPr>
                <w:sz w:val="7"/>
                <w:szCs w:val="7"/>
                <w:color w:val="auto"/>
              </w:rPr>
            </w:pP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18 – Stock-Based Compensation and Stock Repurchases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Employee and Director Stock Incentive Plan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2020 Stock Incentive Plan</w:t>
      </w:r>
    </w:p>
    <w:p>
      <w:pPr>
        <w:spacing w:after="0" w:line="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2"/>
          <w:szCs w:val="12"/>
          <w:color w:val="auto"/>
        </w:rPr>
        <w:t>On November 4, 2020, our Company enacted the 2020 Stock Incentive Plan, which was also approved by our Company’s stockholders on December 8, 2020 (as amended, the “2020 Plan”). Under the 2020 Plan, the number of permitted authorized shares for issuance was originally set at 1,250,000, plus any shares reserved for awards outstanding under the 2010 Plan that were subsequently forfeited (for instance, through a then outstanding out of the money option) or if the related shares are repurchased, a corresponding number of shares would automatically become available for issuance under the 2020 Plan. On December 7, 2023, our Company’s stockholders, upon recommendation of our Company’s board of directors, approved the First Amendment to the 2020 Stock Incentive Plan, increasing the number of shares of Class A Common Stock reserved for issuance under the 2020 Plan by an additional 971,807 shares. On December 5, 2024, the Company’s stockholders, upon recommendation of the Company’s board of directors, approved the Second Amendment to the 2020 Stock Incentive Plan, increasing the number of Class A Common Stock reserved for issuance under the 2020 Plan by an additional 3,500,000 shares.</w:t>
      </w:r>
    </w:p>
    <w:p>
      <w:pPr>
        <w:spacing w:after="0" w:line="11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2"/>
          <w:szCs w:val="12"/>
          <w:color w:val="auto"/>
        </w:rPr>
        <w:t>Under the 2020 Plan, the Company may grant stock options and other share-based payment awards of our Class A Common Stock to eligible employees, directors and consultants. At September 30, 2025, there were 1,179,656 shares of Class A Common Stock available for issuance under the 2020 Plan.</w:t>
      </w:r>
    </w:p>
    <w:p>
      <w:pPr>
        <w:spacing w:after="0" w:line="9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2"/>
          <w:szCs w:val="12"/>
          <w:color w:val="auto"/>
        </w:rPr>
        <w:t>Stock options are granted at exercise prices equal to the grant-date market prices and typically expire on either the fifth or tenth anniversary of the grant date, although the Company’s Compensation and Stock Options Committee (the “Compensation Committee”) may set different vesting times. In contrast to a stock option where the grantee buys our Company’s share at an exercise price determined on the grant date, a restricted stock unit (“RSU”) entitles the grantee to receive one share for every RSU based on a vesting plan, typically between one year and four years from grant. As discussed further below, a performance component has been added to certain of the RSUs or options granted to management. At the time the options are exercised or RSUs vest and are settled, at the discretion of management, we may issue treasury shares or make a new issuance of shares to the option or RSU holder.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Stock Options</w:t>
      </w:r>
    </w:p>
    <w:p>
      <w:pPr>
        <w:spacing w:after="0" w:line="6"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2"/>
          <w:szCs w:val="12"/>
          <w:color w:val="auto"/>
        </w:rPr>
        <w:t>We have estimated the grant-date fair value of our stock options using the Black-Scholes option-valuation model, which takes into account assumptions such as the dividend yield, the risk-free interest rate, the expected stock price volatility, and the expected life of the options. We expensed the estimated grant-date fair values of options over the vesting period on a straight-line basis. Based on our historical experience, the “deemed exercise” of expiring in-the-money options and the relative market price to strike price of the options, we have not estimated any forfeitures of vested or unvested options.</w:t>
      </w:r>
    </w:p>
    <w:p>
      <w:pPr>
        <w:spacing w:after="0" w:line="10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2"/>
          <w:szCs w:val="12"/>
          <w:color w:val="auto"/>
        </w:rPr>
        <w:t>For the quarter and nine months ended September 30, 2025, we recorded a compensation expense of $197,000 and $762,000, respectively, relating to our prior stock option grants. For the quarter and nine months ended September 30, 2024, we recorded a compensation expense of $302,000, and $466,000, respectively, relating to our prior stock option grants. At September 30, 2025, the total unrecognized estimated compensation expense related to non-vested stock options was $1.0 million, which we expect to recognize over a weighted average vesting period of 1.20 years. The intrinsic, unrealized value of all options outstanding vested and expected to vest, at September 30, 2025, was nil, as the closing price of our Class A Common Stock on that date was $1.47.</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257"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color w:val="auto"/>
        </w:rPr>
        <w:t>The following table summarizes the number of options outstanding and exercisable as of September 30, 2025, and December 31,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0"/>
                <w:szCs w:val="10"/>
                <w:b w:val="1"/>
                <w:bCs w:val="1"/>
                <w:color w:val="auto"/>
              </w:rPr>
              <w:t>Outstanding Stock Options - Class A Shares</w:t>
            </w: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jc w:val="center"/>
              <w:ind w:right="285"/>
              <w:spacing w:after="0" w:line="94" w:lineRule="exact"/>
              <w:rPr>
                <w:sz w:val="20"/>
                <w:szCs w:val="20"/>
                <w:color w:val="auto"/>
              </w:rPr>
            </w:pPr>
            <w:r>
              <w:rPr>
                <w:rFonts w:ascii="Times New Roman" w:cs="Times New Roman" w:eastAsia="Times New Roman" w:hAnsi="Times New Roman"/>
                <w:sz w:val="10"/>
                <w:szCs w:val="10"/>
                <w:b w:val="1"/>
                <w:bCs w:val="1"/>
                <w:color w:val="auto"/>
                <w:w w:val="97"/>
              </w:rPr>
              <w:t>Weighted</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jc w:val="center"/>
              <w:ind w:right="285"/>
              <w:spacing w:after="0" w:line="103" w:lineRule="exact"/>
              <w:rPr>
                <w:sz w:val="20"/>
                <w:szCs w:val="20"/>
                <w:color w:val="auto"/>
              </w:rPr>
            </w:pPr>
            <w:r>
              <w:rPr>
                <w:rFonts w:ascii="Times New Roman" w:cs="Times New Roman" w:eastAsia="Times New Roman" w:hAnsi="Times New Roman"/>
                <w:sz w:val="10"/>
                <w:szCs w:val="10"/>
                <w:b w:val="1"/>
                <w:bCs w:val="1"/>
                <w:color w:val="auto"/>
              </w:rPr>
              <w:t>Average‎</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5"/>
            <w:vMerge w:val="restart"/>
          </w:tcPr>
          <w:p>
            <w:pPr>
              <w:jc w:val="right"/>
              <w:ind w:right="900"/>
              <w:spacing w:after="0"/>
              <w:rPr>
                <w:sz w:val="20"/>
                <w:szCs w:val="20"/>
                <w:color w:val="auto"/>
              </w:rPr>
            </w:pPr>
            <w:r>
              <w:rPr>
                <w:rFonts w:ascii="Times New Roman" w:cs="Times New Roman" w:eastAsia="Times New Roman" w:hAnsi="Times New Roman"/>
                <w:sz w:val="10"/>
                <w:szCs w:val="10"/>
                <w:b w:val="1"/>
                <w:bCs w:val="1"/>
                <w:color w:val="auto"/>
                <w:w w:val="97"/>
              </w:rPr>
              <w:t>Weighted</w:t>
            </w:r>
          </w:p>
        </w:tc>
        <w:tc>
          <w:tcPr>
            <w:tcW w:w="160" w:type="dxa"/>
            <w:vAlign w:val="bottom"/>
          </w:tcPr>
          <w:p>
            <w:pPr>
              <w:spacing w:after="0"/>
              <w:rPr>
                <w:sz w:val="9"/>
                <w:szCs w:val="9"/>
                <w:color w:val="auto"/>
              </w:rPr>
            </w:pPr>
          </w:p>
        </w:tc>
        <w:tc>
          <w:tcPr>
            <w:tcW w:w="820" w:type="dxa"/>
            <w:vAlign w:val="bottom"/>
          </w:tcPr>
          <w:p>
            <w:pPr>
              <w:jc w:val="center"/>
              <w:ind w:right="285"/>
              <w:spacing w:after="0" w:line="112" w:lineRule="exact"/>
              <w:rPr>
                <w:sz w:val="20"/>
                <w:szCs w:val="20"/>
                <w:color w:val="auto"/>
              </w:rPr>
            </w:pPr>
            <w:r>
              <w:rPr>
                <w:rFonts w:ascii="Times New Roman" w:cs="Times New Roman" w:eastAsia="Times New Roman" w:hAnsi="Times New Roman"/>
                <w:sz w:val="10"/>
                <w:szCs w:val="10"/>
                <w:b w:val="1"/>
                <w:bCs w:val="1"/>
                <w:color w:val="auto"/>
              </w:rPr>
              <w:t>Remaining‎</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rPr>
              <w:t>Aggregate</w:t>
            </w:r>
          </w:p>
        </w:tc>
        <w:tc>
          <w:tcPr>
            <w:tcW w:w="0" w:type="dxa"/>
            <w:vAlign w:val="bottom"/>
          </w:tcPr>
          <w:p>
            <w:pPr>
              <w:spacing w:after="0"/>
              <w:rPr>
                <w:sz w:val="1"/>
                <w:szCs w:val="1"/>
                <w:color w:val="auto"/>
              </w:rPr>
            </w:pPr>
          </w:p>
        </w:tc>
      </w:tr>
      <w:tr>
        <w:trPr>
          <w:trHeight w:val="102"/>
        </w:trPr>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gridSpan w:val="5"/>
            <w:vMerge w:val="restart"/>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2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jc w:val="center"/>
              <w:ind w:right="285"/>
              <w:spacing w:after="0" w:line="103" w:lineRule="exact"/>
              <w:rPr>
                <w:sz w:val="20"/>
                <w:szCs w:val="20"/>
                <w:color w:val="auto"/>
              </w:rPr>
            </w:pPr>
            <w:r>
              <w:rPr>
                <w:rFonts w:ascii="Times New Roman" w:cs="Times New Roman" w:eastAsia="Times New Roman" w:hAnsi="Times New Roman"/>
                <w:sz w:val="10"/>
                <w:szCs w:val="10"/>
                <w:b w:val="1"/>
                <w:bCs w:val="1"/>
                <w:color w:val="auto"/>
              </w:rPr>
              <w:t>Years of</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20" w:type="dxa"/>
            <w:vAlign w:val="bottom"/>
            <w:gridSpan w:val="5"/>
          </w:tcPr>
          <w:p>
            <w:pPr>
              <w:ind w:left="40"/>
              <w:spacing w:after="0" w:line="103" w:lineRule="exact"/>
              <w:rPr>
                <w:sz w:val="20"/>
                <w:szCs w:val="20"/>
                <w:color w:val="auto"/>
              </w:rPr>
            </w:pPr>
            <w:r>
              <w:rPr>
                <w:rFonts w:ascii="Times New Roman" w:cs="Times New Roman" w:eastAsia="Times New Roman" w:hAnsi="Times New Roman"/>
                <w:sz w:val="10"/>
                <w:szCs w:val="10"/>
                <w:b w:val="1"/>
                <w:bCs w:val="1"/>
                <w:color w:val="auto"/>
              </w:rPr>
              <w:t>Average‎</w:t>
            </w:r>
          </w:p>
        </w:tc>
        <w:tc>
          <w:tcPr>
            <w:tcW w:w="980" w:type="dxa"/>
            <w:vAlign w:val="bottom"/>
            <w:gridSpan w:val="2"/>
          </w:tcPr>
          <w:p>
            <w:pPr>
              <w:jc w:val="center"/>
              <w:ind w:right="125"/>
              <w:spacing w:after="0" w:line="103" w:lineRule="exact"/>
              <w:rPr>
                <w:sz w:val="20"/>
                <w:szCs w:val="20"/>
                <w:color w:val="auto"/>
              </w:rPr>
            </w:pPr>
            <w:r>
              <w:rPr>
                <w:rFonts w:ascii="Times New Roman" w:cs="Times New Roman" w:eastAsia="Times New Roman" w:hAnsi="Times New Roman"/>
                <w:sz w:val="10"/>
                <w:szCs w:val="10"/>
                <w:b w:val="1"/>
                <w:bCs w:val="1"/>
                <w:color w:val="auto"/>
              </w:rPr>
              <w:t>Contractual‎</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tcPr>
          <w:p>
            <w:pPr>
              <w:jc w:val="center"/>
              <w:ind w:right="320"/>
              <w:spacing w:after="0" w:line="103" w:lineRule="exact"/>
              <w:rPr>
                <w:sz w:val="20"/>
                <w:szCs w:val="20"/>
                <w:color w:val="auto"/>
              </w:rPr>
            </w:pPr>
            <w:r>
              <w:rPr>
                <w:rFonts w:ascii="Times New Roman" w:cs="Times New Roman" w:eastAsia="Times New Roman" w:hAnsi="Times New Roman"/>
                <w:sz w:val="10"/>
                <w:szCs w:val="10"/>
                <w:b w:val="1"/>
                <w:bCs w:val="1"/>
                <w:color w:val="auto"/>
                <w:w w:val="98"/>
              </w:rPr>
              <w:t>‎Intrinsic</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w w:val="71"/>
              </w:rPr>
              <w:t>of‎</w:t>
            </w:r>
          </w:p>
        </w:tc>
        <w:tc>
          <w:tcPr>
            <w:tcW w:w="820" w:type="dxa"/>
            <w:vAlign w:val="bottom"/>
            <w:gridSpan w:val="4"/>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Options</w:t>
            </w:r>
          </w:p>
        </w:tc>
        <w:tc>
          <w:tcPr>
            <w:tcW w:w="120" w:type="dxa"/>
            <w:vAlign w:val="bottom"/>
          </w:tcPr>
          <w:p>
            <w:pPr>
              <w:spacing w:after="0"/>
              <w:rPr>
                <w:sz w:val="11"/>
                <w:szCs w:val="11"/>
                <w:color w:val="auto"/>
              </w:rPr>
            </w:pPr>
          </w:p>
        </w:tc>
        <w:tc>
          <w:tcPr>
            <w:tcW w:w="780" w:type="dxa"/>
            <w:vAlign w:val="bottom"/>
            <w:gridSpan w:val="3"/>
          </w:tcPr>
          <w:p>
            <w:pPr>
              <w:ind w:left="420"/>
              <w:spacing w:after="0"/>
              <w:rPr>
                <w:sz w:val="20"/>
                <w:szCs w:val="20"/>
                <w:color w:val="auto"/>
              </w:rPr>
            </w:pPr>
            <w:r>
              <w:rPr>
                <w:rFonts w:ascii="Times New Roman" w:cs="Times New Roman" w:eastAsia="Times New Roman" w:hAnsi="Times New Roman"/>
                <w:sz w:val="10"/>
                <w:szCs w:val="10"/>
                <w:b w:val="1"/>
                <w:bCs w:val="1"/>
                <w:color w:val="auto"/>
                <w:w w:val="94"/>
              </w:rPr>
              <w:t>Exercise‎</w:t>
            </w:r>
          </w:p>
        </w:tc>
        <w:tc>
          <w:tcPr>
            <w:tcW w:w="1040" w:type="dxa"/>
            <w:vAlign w:val="bottom"/>
            <w:gridSpan w:val="3"/>
          </w:tcPr>
          <w:p>
            <w:pPr>
              <w:jc w:val="right"/>
              <w:ind w:right="800"/>
              <w:spacing w:after="0"/>
              <w:rPr>
                <w:sz w:val="20"/>
                <w:szCs w:val="20"/>
                <w:color w:val="auto"/>
              </w:rPr>
            </w:pPr>
            <w:r>
              <w:rPr>
                <w:rFonts w:ascii="Times New Roman" w:cs="Times New Roman" w:eastAsia="Times New Roman" w:hAnsi="Times New Roman"/>
                <w:sz w:val="10"/>
                <w:szCs w:val="10"/>
                <w:b w:val="1"/>
                <w:bCs w:val="1"/>
                <w:color w:val="auto"/>
                <w:w w:val="98"/>
              </w:rPr>
              <w:t>Price</w:t>
            </w:r>
          </w:p>
        </w:tc>
        <w:tc>
          <w:tcPr>
            <w:tcW w:w="160" w:type="dxa"/>
            <w:vAlign w:val="bottom"/>
          </w:tcPr>
          <w:p>
            <w:pPr>
              <w:spacing w:after="0"/>
              <w:rPr>
                <w:sz w:val="11"/>
                <w:szCs w:val="11"/>
                <w:color w:val="auto"/>
              </w:rPr>
            </w:pPr>
          </w:p>
        </w:tc>
        <w:tc>
          <w:tcPr>
            <w:tcW w:w="820" w:type="dxa"/>
            <w:vAlign w:val="bottom"/>
          </w:tcPr>
          <w:p>
            <w:pPr>
              <w:jc w:val="center"/>
              <w:ind w:right="285"/>
              <w:spacing w:after="0"/>
              <w:rPr>
                <w:sz w:val="20"/>
                <w:szCs w:val="20"/>
                <w:color w:val="auto"/>
              </w:rPr>
            </w:pPr>
            <w:r>
              <w:rPr>
                <w:rFonts w:ascii="Times New Roman" w:cs="Times New Roman" w:eastAsia="Times New Roman" w:hAnsi="Times New Roman"/>
                <w:sz w:val="10"/>
                <w:szCs w:val="10"/>
                <w:b w:val="1"/>
                <w:bCs w:val="1"/>
                <w:color w:val="auto"/>
                <w:w w:val="92"/>
              </w:rPr>
              <w:t>‎Life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0" w:type="dxa"/>
            <w:vAlign w:val="bottom"/>
          </w:tcPr>
          <w:p>
            <w:pPr>
              <w:spacing w:after="0"/>
              <w:rPr>
                <w:sz w:val="1"/>
                <w:szCs w:val="1"/>
                <w:color w:val="auto"/>
              </w:rPr>
            </w:pPr>
          </w:p>
        </w:tc>
      </w:tr>
      <w:tr>
        <w:trPr>
          <w:trHeight w:val="110"/>
        </w:trPr>
        <w:tc>
          <w:tcPr>
            <w:tcW w:w="8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1240" w:type="dxa"/>
            <w:vAlign w:val="bottom"/>
            <w:tcBorders>
              <w:top w:val="single" w:sz="8" w:color="auto"/>
              <w:bottom w:val="single" w:sz="8" w:color="auto"/>
            </w:tcBorders>
            <w:gridSpan w:val="4"/>
          </w:tcPr>
          <w:p>
            <w:pPr>
              <w:jc w:val="right"/>
              <w:ind w:right="405"/>
              <w:spacing w:after="0" w:line="111" w:lineRule="exact"/>
              <w:rPr>
                <w:sz w:val="20"/>
                <w:szCs w:val="20"/>
                <w:color w:val="auto"/>
              </w:rPr>
            </w:pPr>
            <w:r>
              <w:rPr>
                <w:rFonts w:ascii="Times New Roman" w:cs="Times New Roman" w:eastAsia="Times New Roman" w:hAnsi="Times New Roman"/>
                <w:sz w:val="10"/>
                <w:szCs w:val="10"/>
                <w:b w:val="1"/>
                <w:bCs w:val="1"/>
                <w:color w:val="auto"/>
              </w:rPr>
              <w:t>Class A</w:t>
            </w:r>
          </w:p>
        </w:tc>
        <w:tc>
          <w:tcPr>
            <w:tcW w:w="6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500" w:type="dxa"/>
            <w:vAlign w:val="bottom"/>
            <w:tcBorders>
              <w:top w:val="single" w:sz="8" w:color="auto"/>
              <w:bottom w:val="single" w:sz="8" w:color="auto"/>
            </w:tcBorders>
          </w:tcPr>
          <w:p>
            <w:pPr>
              <w:spacing w:after="0"/>
              <w:rPr>
                <w:sz w:val="9"/>
                <w:szCs w:val="9"/>
                <w:color w:val="auto"/>
              </w:rPr>
            </w:pPr>
          </w:p>
        </w:tc>
        <w:tc>
          <w:tcPr>
            <w:tcW w:w="920" w:type="dxa"/>
            <w:vAlign w:val="bottom"/>
            <w:tcBorders>
              <w:top w:val="single" w:sz="8" w:color="auto"/>
              <w:bottom w:val="single" w:sz="8" w:color="auto"/>
            </w:tcBorders>
            <w:gridSpan w:val="3"/>
          </w:tcPr>
          <w:p>
            <w:pPr>
              <w:ind w:left="60"/>
              <w:spacing w:after="0" w:line="111" w:lineRule="exact"/>
              <w:rPr>
                <w:sz w:val="20"/>
                <w:szCs w:val="20"/>
                <w:color w:val="auto"/>
              </w:rPr>
            </w:pPr>
            <w:r>
              <w:rPr>
                <w:rFonts w:ascii="Times New Roman" w:cs="Times New Roman" w:eastAsia="Times New Roman" w:hAnsi="Times New Roman"/>
                <w:sz w:val="10"/>
                <w:szCs w:val="10"/>
                <w:b w:val="1"/>
                <w:bCs w:val="1"/>
                <w:color w:val="auto"/>
              </w:rPr>
              <w:t>Class A</w:t>
            </w:r>
          </w:p>
        </w:tc>
        <w:tc>
          <w:tcPr>
            <w:tcW w:w="180" w:type="dxa"/>
            <w:vAlign w:val="bottom"/>
            <w:tcBorders>
              <w:bottom w:val="single" w:sz="8" w:color="CCEEFF"/>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center"/>
              <w:ind w:right="285"/>
              <w:spacing w:after="0" w:line="111" w:lineRule="exact"/>
              <w:rPr>
                <w:sz w:val="20"/>
                <w:szCs w:val="20"/>
                <w:color w:val="auto"/>
              </w:rPr>
            </w:pPr>
            <w:r>
              <w:rPr>
                <w:rFonts w:ascii="Times New Roman" w:cs="Times New Roman" w:eastAsia="Times New Roman" w:hAnsi="Times New Roman"/>
                <w:sz w:val="10"/>
                <w:szCs w:val="10"/>
                <w:b w:val="1"/>
                <w:bCs w:val="1"/>
                <w:color w:val="auto"/>
                <w:w w:val="98"/>
              </w:rPr>
              <w:t>Class A</w:t>
            </w:r>
          </w:p>
        </w:tc>
        <w:tc>
          <w:tcPr>
            <w:tcW w:w="40" w:type="dxa"/>
            <w:vAlign w:val="bottom"/>
            <w:tcBorders>
              <w:top w:val="single" w:sz="8" w:color="auto"/>
              <w:bottom w:val="single" w:sz="8" w:color="auto"/>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1100" w:type="dxa"/>
            <w:vAlign w:val="bottom"/>
            <w:tcBorders>
              <w:top w:val="single" w:sz="8" w:color="auto"/>
              <w:bottom w:val="single" w:sz="8" w:color="auto"/>
            </w:tcBorders>
          </w:tcPr>
          <w:p>
            <w:pPr>
              <w:jc w:val="center"/>
              <w:ind w:right="243"/>
              <w:spacing w:after="0" w:line="111" w:lineRule="exact"/>
              <w:rPr>
                <w:sz w:val="20"/>
                <w:szCs w:val="20"/>
                <w:color w:val="auto"/>
              </w:rPr>
            </w:pPr>
            <w:r>
              <w:rPr>
                <w:rFonts w:ascii="Times New Roman" w:cs="Times New Roman" w:eastAsia="Times New Roman" w:hAnsi="Times New Roman"/>
                <w:sz w:val="10"/>
                <w:szCs w:val="10"/>
                <w:b w:val="1"/>
                <w:bCs w:val="1"/>
                <w:color w:val="auto"/>
                <w:w w:val="98"/>
              </w:rPr>
              <w:t>Class A</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580" w:type="dxa"/>
            <w:vAlign w:val="bottom"/>
            <w:gridSpan w:val="4"/>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 - December 31, 2023</w:t>
            </w: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412,779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14.19</w:t>
            </w:r>
          </w:p>
        </w:tc>
        <w:tc>
          <w:tcPr>
            <w:tcW w:w="1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1.79</w:t>
            </w:r>
          </w:p>
        </w:tc>
        <w:tc>
          <w:tcPr>
            <w:tcW w:w="40" w:type="dxa"/>
            <w:vAlign w:val="bottom"/>
            <w:tcBorders>
              <w:bottom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3"/>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580" w:type="dxa"/>
            <w:vAlign w:val="bottom"/>
            <w:gridSpan w:val="4"/>
          </w:tcPr>
          <w:p>
            <w:pPr>
              <w:ind w:left="60"/>
              <w:spacing w:after="0" w:line="120" w:lineRule="exact"/>
              <w:rPr>
                <w:sz w:val="20"/>
                <w:szCs w:val="20"/>
                <w:color w:val="auto"/>
              </w:rPr>
            </w:pPr>
            <w:r>
              <w:rPr>
                <w:rFonts w:ascii="Times New Roman" w:cs="Times New Roman" w:eastAsia="Times New Roman" w:hAnsi="Times New Roman"/>
                <w:sz w:val="12"/>
                <w:szCs w:val="12"/>
                <w:color w:val="auto"/>
              </w:rPr>
              <w:t>Granted</w:t>
            </w: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gridSpan w:val="3"/>
          </w:tcPr>
          <w:p>
            <w:pPr>
              <w:jc w:val="right"/>
              <w:spacing w:after="0" w:line="120" w:lineRule="exact"/>
              <w:rPr>
                <w:sz w:val="20"/>
                <w:szCs w:val="20"/>
                <w:color w:val="auto"/>
              </w:rPr>
            </w:pPr>
            <w:r>
              <w:rPr>
                <w:rFonts w:ascii="Times New Roman" w:cs="Times New Roman" w:eastAsia="Times New Roman" w:hAnsi="Times New Roman"/>
                <w:sz w:val="12"/>
                <w:szCs w:val="12"/>
                <w:color w:val="auto"/>
              </w:rPr>
              <w:t>1,499,755</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1.49</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ind w:right="3"/>
              <w:spacing w:after="0" w:line="12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580" w:type="dxa"/>
            <w:vAlign w:val="bottom"/>
            <w:gridSpan w:val="4"/>
            <w:shd w:val="clear" w:color="auto" w:fill="CCEEFF"/>
          </w:tcPr>
          <w:p>
            <w:pPr>
              <w:ind w:left="60"/>
              <w:spacing w:after="0" w:line="130" w:lineRule="exact"/>
              <w:rPr>
                <w:sz w:val="20"/>
                <w:szCs w:val="20"/>
                <w:color w:val="auto"/>
              </w:rPr>
            </w:pPr>
            <w:r>
              <w:rPr>
                <w:rFonts w:ascii="Times New Roman" w:cs="Times New Roman" w:eastAsia="Times New Roman" w:hAnsi="Times New Roman"/>
                <w:sz w:val="12"/>
                <w:szCs w:val="12"/>
                <w:color w:val="auto"/>
              </w:rPr>
              <w:t>Exercised</w:t>
            </w: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44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580" w:type="dxa"/>
            <w:vAlign w:val="bottom"/>
            <w:gridSpan w:val="4"/>
          </w:tcPr>
          <w:p>
            <w:pPr>
              <w:ind w:left="60"/>
              <w:spacing w:after="0" w:line="130" w:lineRule="exact"/>
              <w:rPr>
                <w:sz w:val="20"/>
                <w:szCs w:val="20"/>
                <w:color w:val="auto"/>
              </w:rPr>
            </w:pPr>
            <w:r>
              <w:rPr>
                <w:rFonts w:ascii="Times New Roman" w:cs="Times New Roman" w:eastAsia="Times New Roman" w:hAnsi="Times New Roman"/>
                <w:sz w:val="12"/>
                <w:szCs w:val="12"/>
                <w:color w:val="auto"/>
              </w:rPr>
              <w:t>Forfeited</w:t>
            </w: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gridSpan w:val="3"/>
          </w:tcPr>
          <w:p>
            <w:pPr>
              <w:jc w:val="right"/>
              <w:spacing w:after="0" w:line="130" w:lineRule="exact"/>
              <w:rPr>
                <w:sz w:val="20"/>
                <w:szCs w:val="20"/>
                <w:color w:val="auto"/>
              </w:rPr>
            </w:pPr>
            <w:r>
              <w:rPr>
                <w:rFonts w:ascii="Times New Roman" w:cs="Times New Roman" w:eastAsia="Times New Roman" w:hAnsi="Times New Roman"/>
                <w:sz w:val="12"/>
                <w:szCs w:val="12"/>
                <w:color w:val="auto"/>
              </w:rPr>
              <w:t>(205,122)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jc w:val="right"/>
              <w:ind w:right="44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8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580" w:type="dxa"/>
            <w:vAlign w:val="bottom"/>
            <w:tcBorders>
              <w:top w:val="single" w:sz="8" w:color="CCEEFF"/>
            </w:tcBorders>
            <w:gridSpan w:val="4"/>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Balance - December 31, 2024</w:t>
            </w:r>
          </w:p>
        </w:tc>
        <w:tc>
          <w:tcPr>
            <w:tcW w:w="11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gridSpan w:val="3"/>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1,707,412</w:t>
            </w: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ind w:right="38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1.63</w:t>
            </w:r>
          </w:p>
        </w:tc>
        <w:tc>
          <w:tcPr>
            <w:tcW w:w="1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spacing w:after="0"/>
              <w:rPr>
                <w:sz w:val="10"/>
                <w:szCs w:val="10"/>
                <w:color w:val="auto"/>
              </w:rPr>
            </w:pPr>
          </w:p>
        </w:tc>
        <w:tc>
          <w:tcPr>
            <w:tcW w:w="980" w:type="dxa"/>
            <w:vAlign w:val="bottom"/>
            <w:tcBorders>
              <w:top w:val="single" w:sz="8" w:color="auto"/>
              <w:bottom w:val="single" w:sz="8" w:color="auto"/>
            </w:tcBorders>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9.44</w:t>
            </w: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ind w:right="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1100" w:type="dxa"/>
            <w:vAlign w:val="bottom"/>
            <w:tcBorders>
              <w:top w:val="single" w:sz="8" w:color="auto"/>
              <w:bottom w:val="single" w:sz="8" w:color="auto"/>
            </w:tcBorders>
            <w:shd w:val="clear" w:color="auto" w:fill="CCEEFF"/>
          </w:tcPr>
          <w:p>
            <w:pPr>
              <w:jc w:val="right"/>
              <w:ind w:right="3"/>
              <w:spacing w:after="0" w:line="12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80" w:type="dxa"/>
            <w:vAlign w:val="bottom"/>
            <w:gridSpan w:val="4"/>
          </w:tcPr>
          <w:p>
            <w:pPr>
              <w:ind w:left="60"/>
              <w:spacing w:after="0" w:line="120" w:lineRule="exact"/>
              <w:rPr>
                <w:sz w:val="20"/>
                <w:szCs w:val="20"/>
                <w:color w:val="auto"/>
              </w:rPr>
            </w:pPr>
            <w:r>
              <w:rPr>
                <w:rFonts w:ascii="Times New Roman" w:cs="Times New Roman" w:eastAsia="Times New Roman" w:hAnsi="Times New Roman"/>
                <w:sz w:val="12"/>
                <w:szCs w:val="12"/>
                <w:color w:val="auto"/>
              </w:rPr>
              <w:t>Granted</w:t>
            </w: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gridSpan w:val="3"/>
          </w:tcPr>
          <w:p>
            <w:pPr>
              <w:jc w:val="right"/>
              <w:spacing w:after="0" w:line="120" w:lineRule="exact"/>
              <w:rPr>
                <w:sz w:val="20"/>
                <w:szCs w:val="20"/>
                <w:color w:val="auto"/>
              </w:rPr>
            </w:pPr>
            <w:r>
              <w:rPr>
                <w:rFonts w:ascii="Times New Roman" w:cs="Times New Roman" w:eastAsia="Times New Roman" w:hAnsi="Times New Roman"/>
                <w:sz w:val="12"/>
                <w:szCs w:val="12"/>
                <w:color w:val="auto"/>
              </w:rPr>
              <w:t>2,087,885</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1.42</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ind w:right="3"/>
              <w:spacing w:after="0" w:line="12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580" w:type="dxa"/>
            <w:vAlign w:val="bottom"/>
            <w:gridSpan w:val="4"/>
            <w:shd w:val="clear" w:color="auto" w:fill="CCEEFF"/>
          </w:tcPr>
          <w:p>
            <w:pPr>
              <w:ind w:left="60"/>
              <w:spacing w:after="0" w:line="130" w:lineRule="exact"/>
              <w:rPr>
                <w:sz w:val="20"/>
                <w:szCs w:val="20"/>
                <w:color w:val="auto"/>
              </w:rPr>
            </w:pPr>
            <w:r>
              <w:rPr>
                <w:rFonts w:ascii="Times New Roman" w:cs="Times New Roman" w:eastAsia="Times New Roman" w:hAnsi="Times New Roman"/>
                <w:sz w:val="12"/>
                <w:szCs w:val="12"/>
                <w:color w:val="auto"/>
              </w:rPr>
              <w:t>Exercised</w:t>
            </w: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40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580" w:type="dxa"/>
            <w:vAlign w:val="bottom"/>
            <w:gridSpan w:val="4"/>
          </w:tcPr>
          <w:p>
            <w:pPr>
              <w:ind w:left="60"/>
              <w:spacing w:after="0" w:line="130" w:lineRule="exact"/>
              <w:rPr>
                <w:sz w:val="20"/>
                <w:szCs w:val="20"/>
                <w:color w:val="auto"/>
              </w:rPr>
            </w:pPr>
            <w:r>
              <w:rPr>
                <w:rFonts w:ascii="Times New Roman" w:cs="Times New Roman" w:eastAsia="Times New Roman" w:hAnsi="Times New Roman"/>
                <w:sz w:val="12"/>
                <w:szCs w:val="12"/>
                <w:color w:val="auto"/>
              </w:rPr>
              <w:t>Forfeited</w:t>
            </w: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jc w:val="right"/>
              <w:ind w:right="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jc w:val="right"/>
              <w:ind w:right="40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8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3"/>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580" w:type="dxa"/>
            <w:vAlign w:val="bottom"/>
            <w:tcBorders>
              <w:top w:val="single" w:sz="8" w:color="CCEEFF"/>
              <w:bottom w:val="single" w:sz="8" w:color="CCEEFF"/>
            </w:tcBorders>
            <w:gridSpan w:val="4"/>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Balance - September 30, 2025</w:t>
            </w:r>
          </w:p>
        </w:tc>
        <w:tc>
          <w:tcPr>
            <w:tcW w:w="1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gridSpan w:val="3"/>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3,795,297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ind w:right="38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1.50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gridSpan w:val="2"/>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6.50</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ind w:right="3"/>
              <w:spacing w:after="0" w:line="12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5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Restricted Stock Units</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The following table</w:t>
            </w:r>
          </w:p>
        </w:tc>
        <w:tc>
          <w:tcPr>
            <w:tcW w:w="37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summarizes the status of RSUs granted to date as of September 30, 2025:</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6"/>
          </w:tcPr>
          <w:p>
            <w:pPr>
              <w:jc w:val="right"/>
              <w:ind w:right="800"/>
              <w:spacing w:after="0"/>
              <w:rPr>
                <w:sz w:val="20"/>
                <w:szCs w:val="20"/>
                <w:color w:val="auto"/>
              </w:rPr>
            </w:pPr>
            <w:r>
              <w:rPr>
                <w:rFonts w:ascii="Times New Roman" w:cs="Times New Roman" w:eastAsia="Times New Roman" w:hAnsi="Times New Roman"/>
                <w:sz w:val="10"/>
                <w:szCs w:val="10"/>
                <w:b w:val="1"/>
                <w:bCs w:val="1"/>
                <w:color w:val="auto"/>
              </w:rPr>
              <w:t>Restricted Stock Units</w:t>
            </w: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0"/>
        </w:trPr>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80" w:type="dxa"/>
            <w:vAlign w:val="bottom"/>
            <w:tcBorders>
              <w:bottom w:val="single" w:sz="8" w:color="auto"/>
            </w:tcBorders>
            <w:gridSpan w:val="5"/>
          </w:tcPr>
          <w:p>
            <w:pPr>
              <w:ind w:left="780"/>
              <w:spacing w:after="0" w:line="111" w:lineRule="exact"/>
              <w:rPr>
                <w:sz w:val="20"/>
                <w:szCs w:val="20"/>
                <w:color w:val="auto"/>
              </w:rPr>
            </w:pPr>
            <w:r>
              <w:rPr>
                <w:rFonts w:ascii="Times New Roman" w:cs="Times New Roman" w:eastAsia="Times New Roman" w:hAnsi="Times New Roman"/>
                <w:sz w:val="10"/>
                <w:szCs w:val="10"/>
                <w:b w:val="1"/>
                <w:bCs w:val="1"/>
                <w:color w:val="auto"/>
              </w:rPr>
              <w:t>RSU Grants (in units)</w:t>
            </w:r>
          </w:p>
        </w:tc>
        <w:tc>
          <w:tcPr>
            <w:tcW w:w="1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jc w:val="center"/>
              <w:ind w:right="140"/>
              <w:spacing w:after="0" w:line="111" w:lineRule="exact"/>
              <w:rPr>
                <w:sz w:val="20"/>
                <w:szCs w:val="20"/>
                <w:color w:val="auto"/>
              </w:rPr>
            </w:pPr>
            <w:r>
              <w:rPr>
                <w:rFonts w:ascii="Times New Roman" w:cs="Times New Roman" w:eastAsia="Times New Roman" w:hAnsi="Times New Roman"/>
                <w:sz w:val="10"/>
                <w:szCs w:val="10"/>
                <w:b w:val="1"/>
                <w:bCs w:val="1"/>
                <w:color w:val="auto"/>
                <w:w w:val="95"/>
              </w:rPr>
              <w:t>Vested,</w:t>
            </w:r>
          </w:p>
        </w:tc>
        <w:tc>
          <w:tcPr>
            <w:tcW w:w="160" w:type="dxa"/>
            <w:vAlign w:val="bottom"/>
          </w:tcPr>
          <w:p>
            <w:pPr>
              <w:spacing w:after="0"/>
              <w:rPr>
                <w:sz w:val="9"/>
                <w:szCs w:val="9"/>
                <w:color w:val="auto"/>
              </w:rPr>
            </w:pPr>
          </w:p>
        </w:tc>
        <w:tc>
          <w:tcPr>
            <w:tcW w:w="820" w:type="dxa"/>
            <w:vAlign w:val="bottom"/>
          </w:tcPr>
          <w:p>
            <w:pPr>
              <w:jc w:val="center"/>
              <w:ind w:left="265"/>
              <w:spacing w:after="0" w:line="111" w:lineRule="exact"/>
              <w:rPr>
                <w:sz w:val="20"/>
                <w:szCs w:val="20"/>
                <w:color w:val="auto"/>
              </w:rPr>
            </w:pPr>
            <w:r>
              <w:rPr>
                <w:rFonts w:ascii="Times New Roman" w:cs="Times New Roman" w:eastAsia="Times New Roman" w:hAnsi="Times New Roman"/>
                <w:sz w:val="10"/>
                <w:szCs w:val="10"/>
                <w:b w:val="1"/>
                <w:bCs w:val="1"/>
                <w:color w:val="auto"/>
              </w:rPr>
              <w:t>Unvested,</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rPr>
              <w:t>Forfeited,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358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rPr>
              <w:t>Grant Date</w:t>
            </w:r>
          </w:p>
        </w:tc>
        <w:tc>
          <w:tcPr>
            <w:tcW w:w="13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0"/>
                <w:szCs w:val="10"/>
                <w:b w:val="1"/>
                <w:bCs w:val="1"/>
                <w:color w:val="auto"/>
              </w:rPr>
              <w:t>Directors</w:t>
            </w:r>
          </w:p>
        </w:tc>
        <w:tc>
          <w:tcPr>
            <w:tcW w:w="10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0"/>
                <w:szCs w:val="10"/>
                <w:b w:val="1"/>
                <w:bCs w:val="1"/>
                <w:color w:val="auto"/>
              </w:rPr>
              <w:t>Management</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4"/>
          </w:tcPr>
          <w:p>
            <w:pPr>
              <w:jc w:val="right"/>
              <w:ind w:right="426"/>
              <w:spacing w:after="0" w:line="76" w:lineRule="exact"/>
              <w:rPr>
                <w:sz w:val="20"/>
                <w:szCs w:val="20"/>
                <w:color w:val="auto"/>
              </w:rPr>
            </w:pPr>
            <w:r>
              <w:rPr>
                <w:rFonts w:ascii="Times New Roman" w:cs="Times New Roman" w:eastAsia="Times New Roman" w:hAnsi="Times New Roman"/>
                <w:sz w:val="7"/>
                <w:szCs w:val="7"/>
                <w:b w:val="1"/>
                <w:bCs w:val="1"/>
                <w:color w:val="auto"/>
              </w:rPr>
              <w:t>Total</w:t>
            </w: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3"/>
          </w:tcPr>
          <w:p>
            <w:pPr>
              <w:jc w:val="center"/>
              <w:ind w:right="140"/>
              <w:spacing w:after="0" w:line="76"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160" w:type="dxa"/>
            <w:vAlign w:val="bottom"/>
          </w:tcPr>
          <w:p>
            <w:pPr>
              <w:spacing w:after="0"/>
              <w:rPr>
                <w:sz w:val="6"/>
                <w:szCs w:val="6"/>
                <w:color w:val="auto"/>
              </w:rPr>
            </w:pPr>
          </w:p>
        </w:tc>
        <w:tc>
          <w:tcPr>
            <w:tcW w:w="1320" w:type="dxa"/>
            <w:vAlign w:val="bottom"/>
            <w:gridSpan w:val="5"/>
          </w:tcPr>
          <w:p>
            <w:pPr>
              <w:jc w:val="center"/>
              <w:ind w:right="160"/>
              <w:spacing w:after="0" w:line="76"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1120" w:type="dxa"/>
            <w:vAlign w:val="bottom"/>
            <w:gridSpan w:val="2"/>
          </w:tcPr>
          <w:p>
            <w:pPr>
              <w:jc w:val="center"/>
              <w:ind w:right="40"/>
              <w:spacing w:after="0" w:line="76"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0" w:type="dxa"/>
            <w:vAlign w:val="bottom"/>
          </w:tcPr>
          <w:p>
            <w:pPr>
              <w:spacing w:after="0"/>
              <w:rPr>
                <w:sz w:val="1"/>
                <w:szCs w:val="1"/>
                <w:color w:val="auto"/>
              </w:rPr>
            </w:pPr>
          </w:p>
        </w:tc>
      </w:tr>
      <w:tr>
        <w:trPr>
          <w:trHeight w:val="128"/>
        </w:trPr>
        <w:tc>
          <w:tcPr>
            <w:tcW w:w="3580" w:type="dxa"/>
            <w:vAlign w:val="bottom"/>
            <w:gridSpan w:val="4"/>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jc w:val="right"/>
              <w:ind w:right="386"/>
              <w:spacing w:after="0"/>
              <w:rPr>
                <w:sz w:val="20"/>
                <w:szCs w:val="20"/>
                <w:color w:val="auto"/>
              </w:rPr>
            </w:pPr>
            <w:r>
              <w:rPr>
                <w:rFonts w:ascii="Times New Roman" w:cs="Times New Roman" w:eastAsia="Times New Roman" w:hAnsi="Times New Roman"/>
                <w:sz w:val="10"/>
                <w:szCs w:val="10"/>
                <w:b w:val="1"/>
                <w:bCs w:val="1"/>
                <w:color w:val="auto"/>
              </w:rPr>
              <w:t>‎Grants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left="221"/>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left="441"/>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3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580" w:type="dxa"/>
            <w:vAlign w:val="bottom"/>
            <w:gridSpan w:val="4"/>
          </w:tcPr>
          <w:p>
            <w:pPr>
              <w:spacing w:after="0" w:line="112" w:lineRule="exact"/>
              <w:rPr>
                <w:sz w:val="20"/>
                <w:szCs w:val="20"/>
                <w:color w:val="auto"/>
              </w:rPr>
            </w:pPr>
            <w:r>
              <w:rPr>
                <w:rFonts w:ascii="Times New Roman" w:cs="Times New Roman" w:eastAsia="Times New Roman" w:hAnsi="Times New Roman"/>
                <w:sz w:val="12"/>
                <w:szCs w:val="12"/>
                <w:color w:val="auto"/>
              </w:rPr>
              <w:t>Opening balance</w:t>
            </w:r>
          </w:p>
        </w:tc>
        <w:tc>
          <w:tcPr>
            <w:tcW w:w="1160" w:type="dxa"/>
            <w:vAlign w:val="bottom"/>
          </w:tcPr>
          <w:p>
            <w:pPr>
              <w:jc w:val="right"/>
              <w:spacing w:after="0" w:line="112" w:lineRule="exact"/>
              <w:rPr>
                <w:sz w:val="20"/>
                <w:szCs w:val="20"/>
                <w:color w:val="auto"/>
              </w:rPr>
            </w:pPr>
            <w:r>
              <w:rPr>
                <w:rFonts w:ascii="Times New Roman" w:cs="Times New Roman" w:eastAsia="Times New Roman" w:hAnsi="Times New Roman"/>
                <w:sz w:val="12"/>
                <w:szCs w:val="12"/>
                <w:color w:val="auto"/>
              </w:rPr>
              <w:t>339,438</w:t>
            </w:r>
          </w:p>
        </w:tc>
        <w:tc>
          <w:tcPr>
            <w:tcW w:w="160" w:type="dxa"/>
            <w:vAlign w:val="bottom"/>
          </w:tcPr>
          <w:p>
            <w:pPr>
              <w:spacing w:after="0"/>
              <w:rPr>
                <w:sz w:val="9"/>
                <w:szCs w:val="9"/>
                <w:color w:val="auto"/>
              </w:rPr>
            </w:pPr>
          </w:p>
        </w:tc>
        <w:tc>
          <w:tcPr>
            <w:tcW w:w="1160" w:type="dxa"/>
            <w:vAlign w:val="bottom"/>
            <w:gridSpan w:val="4"/>
          </w:tcPr>
          <w:p>
            <w:pPr>
              <w:jc w:val="right"/>
              <w:spacing w:after="0" w:line="112" w:lineRule="exact"/>
              <w:rPr>
                <w:sz w:val="20"/>
                <w:szCs w:val="20"/>
                <w:color w:val="auto"/>
              </w:rPr>
            </w:pPr>
            <w:r>
              <w:rPr>
                <w:rFonts w:ascii="Times New Roman" w:cs="Times New Roman" w:eastAsia="Times New Roman" w:hAnsi="Times New Roman"/>
                <w:sz w:val="12"/>
                <w:szCs w:val="12"/>
                <w:color w:val="auto"/>
              </w:rPr>
              <w:t>1,222,252</w:t>
            </w: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6"/>
              <w:spacing w:after="0" w:line="112" w:lineRule="exact"/>
              <w:rPr>
                <w:sz w:val="20"/>
                <w:szCs w:val="20"/>
                <w:color w:val="auto"/>
              </w:rPr>
            </w:pPr>
            <w:r>
              <w:rPr>
                <w:rFonts w:ascii="Times New Roman" w:cs="Times New Roman" w:eastAsia="Times New Roman" w:hAnsi="Times New Roman"/>
                <w:sz w:val="12"/>
                <w:szCs w:val="12"/>
                <w:color w:val="auto"/>
              </w:rPr>
              <w:t>1,561,690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3"/>
          </w:tcPr>
          <w:p>
            <w:pPr>
              <w:jc w:val="right"/>
              <w:ind w:right="60"/>
              <w:spacing w:after="0" w:line="112" w:lineRule="exact"/>
              <w:rPr>
                <w:sz w:val="20"/>
                <w:szCs w:val="20"/>
                <w:color w:val="auto"/>
              </w:rPr>
            </w:pPr>
            <w:r>
              <w:rPr>
                <w:rFonts w:ascii="Times New Roman" w:cs="Times New Roman" w:eastAsia="Times New Roman" w:hAnsi="Times New Roman"/>
                <w:sz w:val="12"/>
                <w:szCs w:val="12"/>
                <w:color w:val="auto"/>
              </w:rPr>
              <w:t>1,378,947</w:t>
            </w:r>
          </w:p>
        </w:tc>
        <w:tc>
          <w:tcPr>
            <w:tcW w:w="1320" w:type="dxa"/>
            <w:vAlign w:val="bottom"/>
            <w:gridSpan w:val="5"/>
          </w:tcPr>
          <w:p>
            <w:pPr>
              <w:jc w:val="right"/>
              <w:spacing w:after="0" w:line="112" w:lineRule="exact"/>
              <w:rPr>
                <w:sz w:val="20"/>
                <w:szCs w:val="20"/>
                <w:color w:val="auto"/>
              </w:rPr>
            </w:pPr>
            <w:r>
              <w:rPr>
                <w:rFonts w:ascii="Times New Roman" w:cs="Times New Roman" w:eastAsia="Times New Roman" w:hAnsi="Times New Roman"/>
                <w:sz w:val="12"/>
                <w:szCs w:val="12"/>
                <w:color w:val="auto"/>
              </w:rPr>
              <w:t>74,435</w:t>
            </w:r>
          </w:p>
        </w:tc>
        <w:tc>
          <w:tcPr>
            <w:tcW w:w="160" w:type="dxa"/>
            <w:vAlign w:val="bottom"/>
          </w:tcPr>
          <w:p>
            <w:pPr>
              <w:spacing w:after="0"/>
              <w:rPr>
                <w:sz w:val="9"/>
                <w:szCs w:val="9"/>
                <w:color w:val="auto"/>
              </w:rPr>
            </w:pPr>
          </w:p>
        </w:tc>
        <w:tc>
          <w:tcPr>
            <w:tcW w:w="1100" w:type="dxa"/>
            <w:vAlign w:val="bottom"/>
          </w:tcPr>
          <w:p>
            <w:pPr>
              <w:jc w:val="right"/>
              <w:ind w:right="3"/>
              <w:spacing w:after="0" w:line="112" w:lineRule="exact"/>
              <w:rPr>
                <w:sz w:val="20"/>
                <w:szCs w:val="20"/>
                <w:color w:val="auto"/>
              </w:rPr>
            </w:pPr>
            <w:r>
              <w:rPr>
                <w:rFonts w:ascii="Times New Roman" w:cs="Times New Roman" w:eastAsia="Times New Roman" w:hAnsi="Times New Roman"/>
                <w:sz w:val="12"/>
                <w:szCs w:val="12"/>
                <w:color w:val="auto"/>
              </w:rPr>
              <w:t>108,308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8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gridSpan w:val="4"/>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gridSpan w:val="4"/>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580" w:type="dxa"/>
            <w:vAlign w:val="bottom"/>
            <w:gridSpan w:val="4"/>
          </w:tcPr>
          <w:p>
            <w:pPr>
              <w:spacing w:after="0" w:line="130" w:lineRule="exact"/>
              <w:rPr>
                <w:sz w:val="20"/>
                <w:szCs w:val="20"/>
                <w:color w:val="auto"/>
              </w:rPr>
            </w:pPr>
            <w:r>
              <w:rPr>
                <w:rFonts w:ascii="Times New Roman" w:cs="Times New Roman" w:eastAsia="Times New Roman" w:hAnsi="Times New Roman"/>
                <w:sz w:val="12"/>
                <w:szCs w:val="12"/>
                <w:color w:val="auto"/>
              </w:rPr>
              <w:t>April 11, 2023</w:t>
            </w:r>
          </w:p>
        </w:tc>
        <w:tc>
          <w:tcPr>
            <w:tcW w:w="132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4"/>
          </w:tcPr>
          <w:p>
            <w:pPr>
              <w:jc w:val="right"/>
              <w:spacing w:after="0" w:line="130" w:lineRule="exact"/>
              <w:rPr>
                <w:sz w:val="20"/>
                <w:szCs w:val="20"/>
                <w:color w:val="auto"/>
              </w:rPr>
            </w:pPr>
            <w:r>
              <w:rPr>
                <w:rFonts w:ascii="Times New Roman" w:cs="Times New Roman" w:eastAsia="Times New Roman" w:hAnsi="Times New Roman"/>
                <w:sz w:val="12"/>
                <w:szCs w:val="12"/>
                <w:color w:val="auto"/>
              </w:rPr>
              <w:t>413,536</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6"/>
              <w:spacing w:after="0" w:line="130" w:lineRule="exact"/>
              <w:rPr>
                <w:sz w:val="20"/>
                <w:szCs w:val="20"/>
                <w:color w:val="auto"/>
              </w:rPr>
            </w:pPr>
            <w:r>
              <w:rPr>
                <w:rFonts w:ascii="Times New Roman" w:cs="Times New Roman" w:eastAsia="Times New Roman" w:hAnsi="Times New Roman"/>
                <w:sz w:val="12"/>
                <w:szCs w:val="12"/>
                <w:color w:val="auto"/>
              </w:rPr>
              <w:t>413,536</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jc w:val="right"/>
              <w:ind w:right="60"/>
              <w:spacing w:after="0" w:line="130" w:lineRule="exact"/>
              <w:rPr>
                <w:sz w:val="20"/>
                <w:szCs w:val="20"/>
                <w:color w:val="auto"/>
              </w:rPr>
            </w:pPr>
            <w:r>
              <w:rPr>
                <w:rFonts w:ascii="Times New Roman" w:cs="Times New Roman" w:eastAsia="Times New Roman" w:hAnsi="Times New Roman"/>
                <w:sz w:val="12"/>
                <w:szCs w:val="12"/>
                <w:color w:val="auto"/>
              </w:rPr>
              <w:t>208,289</w:t>
            </w:r>
          </w:p>
        </w:tc>
        <w:tc>
          <w:tcPr>
            <w:tcW w:w="1320" w:type="dxa"/>
            <w:vAlign w:val="bottom"/>
            <w:gridSpan w:val="5"/>
          </w:tcPr>
          <w:p>
            <w:pPr>
              <w:jc w:val="right"/>
              <w:spacing w:after="0" w:line="130" w:lineRule="exact"/>
              <w:rPr>
                <w:sz w:val="20"/>
                <w:szCs w:val="20"/>
                <w:color w:val="auto"/>
              </w:rPr>
            </w:pPr>
            <w:r>
              <w:rPr>
                <w:rFonts w:ascii="Times New Roman" w:cs="Times New Roman" w:eastAsia="Times New Roman" w:hAnsi="Times New Roman"/>
                <w:sz w:val="12"/>
                <w:szCs w:val="12"/>
                <w:color w:val="auto"/>
              </w:rPr>
              <w:t>201,689</w:t>
            </w:r>
          </w:p>
        </w:tc>
        <w:tc>
          <w:tcPr>
            <w:tcW w:w="160" w:type="dxa"/>
            <w:vAlign w:val="bottom"/>
          </w:tcPr>
          <w:p>
            <w:pPr>
              <w:spacing w:after="0"/>
              <w:rPr>
                <w:sz w:val="11"/>
                <w:szCs w:val="11"/>
                <w:color w:val="auto"/>
              </w:rPr>
            </w:pPr>
          </w:p>
        </w:tc>
        <w:tc>
          <w:tcPr>
            <w:tcW w:w="1100" w:type="dxa"/>
            <w:vAlign w:val="bottom"/>
          </w:tcPr>
          <w:p>
            <w:pPr>
              <w:jc w:val="right"/>
              <w:ind w:right="3"/>
              <w:spacing w:after="0" w:line="130" w:lineRule="exact"/>
              <w:rPr>
                <w:sz w:val="20"/>
                <w:szCs w:val="20"/>
                <w:color w:val="auto"/>
              </w:rPr>
            </w:pPr>
            <w:r>
              <w:rPr>
                <w:rFonts w:ascii="Times New Roman" w:cs="Times New Roman" w:eastAsia="Times New Roman" w:hAnsi="Times New Roman"/>
                <w:sz w:val="12"/>
                <w:szCs w:val="12"/>
                <w:color w:val="auto"/>
              </w:rPr>
              <w:t>3,558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580" w:type="dxa"/>
            <w:vAlign w:val="bottom"/>
            <w:gridSpan w:val="4"/>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April 21, 2023</w:t>
            </w:r>
          </w:p>
        </w:tc>
        <w:tc>
          <w:tcPr>
            <w:tcW w:w="1320" w:type="dxa"/>
            <w:vAlign w:val="bottom"/>
            <w:gridSpan w:val="2"/>
            <w:shd w:val="clear" w:color="auto" w:fill="CCEEFF"/>
          </w:tcPr>
          <w:p>
            <w:pPr>
              <w:jc w:val="right"/>
              <w:ind w:right="20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4"/>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237,719</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
              <w:spacing w:after="0" w:line="130" w:lineRule="exact"/>
              <w:rPr>
                <w:sz w:val="20"/>
                <w:szCs w:val="20"/>
                <w:color w:val="auto"/>
              </w:rPr>
            </w:pPr>
            <w:r>
              <w:rPr>
                <w:rFonts w:ascii="Times New Roman" w:cs="Times New Roman" w:eastAsia="Times New Roman" w:hAnsi="Times New Roman"/>
                <w:sz w:val="12"/>
                <w:szCs w:val="12"/>
                <w:color w:val="auto"/>
              </w:rPr>
              <w:t>237,719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60"/>
              <w:spacing w:after="0" w:line="130" w:lineRule="exact"/>
              <w:rPr>
                <w:sz w:val="20"/>
                <w:szCs w:val="20"/>
                <w:color w:val="auto"/>
              </w:rPr>
            </w:pPr>
            <w:r>
              <w:rPr>
                <w:rFonts w:ascii="Times New Roman" w:cs="Times New Roman" w:eastAsia="Times New Roman" w:hAnsi="Times New Roman"/>
                <w:sz w:val="12"/>
                <w:szCs w:val="12"/>
                <w:color w:val="auto"/>
              </w:rPr>
              <w:t>106,295</w:t>
            </w:r>
          </w:p>
        </w:tc>
        <w:tc>
          <w:tcPr>
            <w:tcW w:w="1320" w:type="dxa"/>
            <w:vAlign w:val="bottom"/>
            <w:gridSpan w:val="5"/>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128,066</w:t>
            </w: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
              <w:spacing w:after="0" w:line="130" w:lineRule="exact"/>
              <w:rPr>
                <w:sz w:val="20"/>
                <w:szCs w:val="20"/>
                <w:color w:val="auto"/>
              </w:rPr>
            </w:pPr>
            <w:r>
              <w:rPr>
                <w:rFonts w:ascii="Times New Roman" w:cs="Times New Roman" w:eastAsia="Times New Roman" w:hAnsi="Times New Roman"/>
                <w:sz w:val="12"/>
                <w:szCs w:val="12"/>
                <w:color w:val="auto"/>
              </w:rPr>
              <w:t>3,358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580" w:type="dxa"/>
            <w:vAlign w:val="bottom"/>
            <w:gridSpan w:val="4"/>
          </w:tcPr>
          <w:p>
            <w:pPr>
              <w:spacing w:after="0" w:line="130" w:lineRule="exact"/>
              <w:rPr>
                <w:sz w:val="20"/>
                <w:szCs w:val="20"/>
                <w:color w:val="auto"/>
              </w:rPr>
            </w:pPr>
            <w:r>
              <w:rPr>
                <w:rFonts w:ascii="Times New Roman" w:cs="Times New Roman" w:eastAsia="Times New Roman" w:hAnsi="Times New Roman"/>
                <w:sz w:val="12"/>
                <w:szCs w:val="12"/>
                <w:color w:val="auto"/>
              </w:rPr>
              <w:t>April 28, 2023</w:t>
            </w:r>
          </w:p>
        </w:tc>
        <w:tc>
          <w:tcPr>
            <w:tcW w:w="1320" w:type="dxa"/>
            <w:vAlign w:val="bottom"/>
            <w:gridSpan w:val="2"/>
          </w:tcPr>
          <w:p>
            <w:pPr>
              <w:jc w:val="right"/>
              <w:ind w:right="20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4"/>
          </w:tcPr>
          <w:p>
            <w:pPr>
              <w:jc w:val="right"/>
              <w:spacing w:after="0" w:line="130" w:lineRule="exact"/>
              <w:rPr>
                <w:sz w:val="20"/>
                <w:szCs w:val="20"/>
                <w:color w:val="auto"/>
              </w:rPr>
            </w:pPr>
            <w:r>
              <w:rPr>
                <w:rFonts w:ascii="Times New Roman" w:cs="Times New Roman" w:eastAsia="Times New Roman" w:hAnsi="Times New Roman"/>
                <w:sz w:val="12"/>
                <w:szCs w:val="12"/>
                <w:color w:val="auto"/>
              </w:rPr>
              <w:t>20,427</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6"/>
              <w:spacing w:after="0" w:line="130" w:lineRule="exact"/>
              <w:rPr>
                <w:sz w:val="20"/>
                <w:szCs w:val="20"/>
                <w:color w:val="auto"/>
              </w:rPr>
            </w:pPr>
            <w:r>
              <w:rPr>
                <w:rFonts w:ascii="Times New Roman" w:cs="Times New Roman" w:eastAsia="Times New Roman" w:hAnsi="Times New Roman"/>
                <w:sz w:val="12"/>
                <w:szCs w:val="12"/>
                <w:color w:val="auto"/>
              </w:rPr>
              <w:t>20,427</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jc w:val="right"/>
              <w:ind w:right="60"/>
              <w:spacing w:after="0" w:line="130" w:lineRule="exact"/>
              <w:rPr>
                <w:sz w:val="20"/>
                <w:szCs w:val="20"/>
                <w:color w:val="auto"/>
              </w:rPr>
            </w:pPr>
            <w:r>
              <w:rPr>
                <w:rFonts w:ascii="Times New Roman" w:cs="Times New Roman" w:eastAsia="Times New Roman" w:hAnsi="Times New Roman"/>
                <w:sz w:val="12"/>
                <w:szCs w:val="12"/>
                <w:color w:val="auto"/>
              </w:rPr>
              <w:t>10,218</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gridSpan w:val="3"/>
          </w:tcPr>
          <w:p>
            <w:pPr>
              <w:jc w:val="right"/>
              <w:spacing w:after="0" w:line="130" w:lineRule="exact"/>
              <w:rPr>
                <w:sz w:val="20"/>
                <w:szCs w:val="20"/>
                <w:color w:val="auto"/>
              </w:rPr>
            </w:pPr>
            <w:r>
              <w:rPr>
                <w:rFonts w:ascii="Times New Roman" w:cs="Times New Roman" w:eastAsia="Times New Roman" w:hAnsi="Times New Roman"/>
                <w:sz w:val="12"/>
                <w:szCs w:val="12"/>
                <w:color w:val="auto"/>
              </w:rPr>
              <w:t>8,661</w:t>
            </w:r>
          </w:p>
        </w:tc>
        <w:tc>
          <w:tcPr>
            <w:tcW w:w="160" w:type="dxa"/>
            <w:vAlign w:val="bottom"/>
          </w:tcPr>
          <w:p>
            <w:pPr>
              <w:spacing w:after="0"/>
              <w:rPr>
                <w:sz w:val="11"/>
                <w:szCs w:val="11"/>
                <w:color w:val="auto"/>
              </w:rPr>
            </w:pPr>
          </w:p>
        </w:tc>
        <w:tc>
          <w:tcPr>
            <w:tcW w:w="1100" w:type="dxa"/>
            <w:vAlign w:val="bottom"/>
          </w:tcPr>
          <w:p>
            <w:pPr>
              <w:jc w:val="right"/>
              <w:ind w:right="3"/>
              <w:spacing w:after="0" w:line="130" w:lineRule="exact"/>
              <w:rPr>
                <w:sz w:val="20"/>
                <w:szCs w:val="20"/>
                <w:color w:val="auto"/>
              </w:rPr>
            </w:pPr>
            <w:r>
              <w:rPr>
                <w:rFonts w:ascii="Times New Roman" w:cs="Times New Roman" w:eastAsia="Times New Roman" w:hAnsi="Times New Roman"/>
                <w:sz w:val="12"/>
                <w:szCs w:val="12"/>
                <w:color w:val="auto"/>
              </w:rPr>
              <w:t>1,548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tcBorders>
              <w:bottom w:val="single" w:sz="8" w:color="auto"/>
            </w:tcBorders>
            <w:gridSpan w:val="4"/>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gridSpan w:val="2"/>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gridSpan w:val="3"/>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tcBorders>
              <w:bottom w:val="single" w:sz="8" w:color="auto"/>
            </w:tcBorders>
            <w:gridSpan w:val="4"/>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420" w:type="dxa"/>
            <w:vAlign w:val="bottom"/>
            <w:tcBorders>
              <w:bottom w:val="single" w:sz="8" w:color="auto"/>
            </w:tcBorders>
            <w:gridSpan w:val="3"/>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Total</w:t>
            </w:r>
          </w:p>
        </w:tc>
        <w:tc>
          <w:tcPr>
            <w:tcW w:w="160" w:type="dxa"/>
            <w:vAlign w:val="bottom"/>
          </w:tcPr>
          <w:p>
            <w:pPr>
              <w:spacing w:after="0"/>
              <w:rPr>
                <w:sz w:val="10"/>
                <w:szCs w:val="10"/>
                <w:color w:val="auto"/>
              </w:rPr>
            </w:pPr>
          </w:p>
        </w:tc>
        <w:tc>
          <w:tcPr>
            <w:tcW w:w="116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339,438</w:t>
            </w:r>
          </w:p>
        </w:tc>
        <w:tc>
          <w:tcPr>
            <w:tcW w:w="160" w:type="dxa"/>
            <w:vAlign w:val="bottom"/>
          </w:tcPr>
          <w:p>
            <w:pPr>
              <w:spacing w:after="0"/>
              <w:rPr>
                <w:sz w:val="10"/>
                <w:szCs w:val="10"/>
                <w:color w:val="auto"/>
              </w:rPr>
            </w:pPr>
          </w:p>
        </w:tc>
        <w:tc>
          <w:tcPr>
            <w:tcW w:w="1160" w:type="dxa"/>
            <w:vAlign w:val="bottom"/>
            <w:tcBorders>
              <w:bottom w:val="single" w:sz="8" w:color="auto"/>
            </w:tcBorders>
            <w:gridSpan w:val="4"/>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1,893,934</w:t>
            </w:r>
          </w:p>
        </w:tc>
        <w:tc>
          <w:tcPr>
            <w:tcW w:w="16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2,233,372</w:t>
            </w: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tcPr>
          <w:p>
            <w:pPr>
              <w:jc w:val="right"/>
              <w:ind w:right="40"/>
              <w:spacing w:after="0" w:line="120" w:lineRule="exact"/>
              <w:rPr>
                <w:sz w:val="20"/>
                <w:szCs w:val="20"/>
                <w:color w:val="auto"/>
              </w:rPr>
            </w:pPr>
            <w:r>
              <w:rPr>
                <w:rFonts w:ascii="Times New Roman" w:cs="Times New Roman" w:eastAsia="Times New Roman" w:hAnsi="Times New Roman"/>
                <w:sz w:val="12"/>
                <w:szCs w:val="12"/>
                <w:b w:val="1"/>
                <w:bCs w:val="1"/>
                <w:color w:val="auto"/>
              </w:rPr>
              <w:t>1,703,749</w:t>
            </w:r>
          </w:p>
        </w:tc>
        <w:tc>
          <w:tcPr>
            <w:tcW w:w="160" w:type="dxa"/>
            <w:vAlign w:val="bottom"/>
          </w:tcPr>
          <w:p>
            <w:pPr>
              <w:spacing w:after="0"/>
              <w:rPr>
                <w:sz w:val="10"/>
                <w:szCs w:val="10"/>
                <w:color w:val="auto"/>
              </w:rPr>
            </w:pPr>
          </w:p>
        </w:tc>
        <w:tc>
          <w:tcPr>
            <w:tcW w:w="1160" w:type="dxa"/>
            <w:vAlign w:val="bottom"/>
            <w:tcBorders>
              <w:bottom w:val="single" w:sz="8" w:color="auto"/>
            </w:tcBorders>
            <w:gridSpan w:val="4"/>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412,851</w:t>
            </w:r>
          </w:p>
        </w:tc>
        <w:tc>
          <w:tcPr>
            <w:tcW w:w="160" w:type="dxa"/>
            <w:vAlign w:val="bottom"/>
          </w:tcPr>
          <w:p>
            <w:pPr>
              <w:spacing w:after="0"/>
              <w:rPr>
                <w:sz w:val="10"/>
                <w:szCs w:val="10"/>
                <w:color w:val="auto"/>
              </w:rPr>
            </w:pPr>
          </w:p>
        </w:tc>
        <w:tc>
          <w:tcPr>
            <w:tcW w:w="110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116,772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2"/>
          <w:szCs w:val="12"/>
          <w:color w:val="auto"/>
        </w:rPr>
        <w:t>Time vested RSU awards to management typically vest 25% on the anniversary of the grant date and the remainder over a period of four years. Beginning in 2020, a performance component has been added to certain management equity grants, which vest on the third anniversary of their grant date based on the achievement of certain performance metrics. From 2021 onwards, RSUs have two vesting structures, which include time vesting and performance vesting. The majority of RSUs vest 75% evenly over a period of four years, with the remaining 25% contingent upon the achievement of certain performance metrics, vesting in full on the third anniversary of the date of the grant. In the case of our Chief Executive Officer, RSUs vest 50% evenly over a period of four years with the remaining 50%, contingent upon the achievement of certain performance metrics, vesting in full on the third anniversary of the grant date. In 2024 and in the second quarter of 2025, our Compensation Committee, upon the recommendation of our Chief Executive Officer and Board Chair, determined that due to liquidity management concerns, our Company would not pay cash bonuses for which our executive officers and other senior management may have been potentially eligible, and to issue stock options in lieu of such bonuses. Also in 2024 and 2025, our Compensation Committee determined not to issue long term incentive stock options or RSUs.</w:t>
      </w:r>
    </w:p>
    <w:p>
      <w:pPr>
        <w:spacing w:after="0" w:line="1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For the quarter and nine months ended September 30, 2025, we recorded compensation expense of $194,000 and $759,000, respectively. For the quarter and nine months ended September 30, 2024, we recorded compensation expense of $302,000, and $1.3 million, respectively. The total unrecognized compensation expense related to the non-vested RSUs was $1.3 million as of September 30, 2025, which we expect to recognize over a weighted average vesting period of 0.62 years.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Stock Repurchase Program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Stock Repurchase Program expired on March 10, 2024, and has not been renewed.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19 – Hedge Accounting</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2"/>
          <w:szCs w:val="12"/>
          <w:color w:val="auto"/>
        </w:rPr>
        <w:t>As of September 30, 2025, our Company held derivative instruments to the notional value of $33.1 million (AU$50.0 million). As of December 31, 2024, our Company held derivatives in the total notional amount of $33.0 million (AU$50.0 million).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248"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color w:val="auto"/>
        </w:rPr>
        <w:t>The derivatives are recorded on the balance sheet at fair value and are included in the following line items: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0" w:type="dxa"/>
            <w:vAlign w:val="bottom"/>
            <w:gridSpan w:val="6"/>
          </w:tcPr>
          <w:p>
            <w:pPr>
              <w:ind w:left="640"/>
              <w:spacing w:after="0"/>
              <w:rPr>
                <w:sz w:val="20"/>
                <w:szCs w:val="20"/>
                <w:color w:val="auto"/>
              </w:rPr>
            </w:pPr>
            <w:r>
              <w:rPr>
                <w:rFonts w:ascii="Times New Roman" w:cs="Times New Roman" w:eastAsia="Times New Roman" w:hAnsi="Times New Roman"/>
                <w:sz w:val="10"/>
                <w:szCs w:val="10"/>
                <w:b w:val="1"/>
                <w:bCs w:val="1"/>
                <w:color w:val="auto"/>
              </w:rPr>
              <w:t>Liability Derivatives</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0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40" w:type="dxa"/>
            <w:vAlign w:val="bottom"/>
            <w:tcBorders>
              <w:bottom w:val="single" w:sz="8" w:color="auto"/>
            </w:tcBorders>
            <w:gridSpan w:val="2"/>
          </w:tcPr>
          <w:p>
            <w:pPr>
              <w:ind w:left="172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88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160" w:type="dxa"/>
            <w:vAlign w:val="bottom"/>
          </w:tcPr>
          <w:p>
            <w:pPr>
              <w:spacing w:after="0"/>
              <w:rPr>
                <w:sz w:val="9"/>
                <w:szCs w:val="9"/>
                <w:color w:val="auto"/>
              </w:rPr>
            </w:pPr>
          </w:p>
        </w:tc>
        <w:tc>
          <w:tcPr>
            <w:tcW w:w="2900" w:type="dxa"/>
            <w:vAlign w:val="bottom"/>
          </w:tcPr>
          <w:p>
            <w:pPr>
              <w:jc w:val="right"/>
              <w:ind w:right="730"/>
              <w:spacing w:after="0" w:line="111" w:lineRule="exact"/>
              <w:rPr>
                <w:sz w:val="20"/>
                <w:szCs w:val="20"/>
                <w:color w:val="auto"/>
              </w:rPr>
            </w:pPr>
            <w:r>
              <w:rPr>
                <w:rFonts w:ascii="Times New Roman" w:cs="Times New Roman" w:eastAsia="Times New Roman" w:hAnsi="Times New Roman"/>
                <w:sz w:val="10"/>
                <w:szCs w:val="10"/>
                <w:b w:val="1"/>
                <w:bCs w:val="1"/>
                <w:color w:val="auto"/>
              </w:rPr>
              <w:t>2025</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2"/>
          </w:tcPr>
          <w:p>
            <w:pPr>
              <w:jc w:val="right"/>
              <w:ind w:right="710"/>
              <w:spacing w:after="0" w:line="111" w:lineRule="exact"/>
              <w:rPr>
                <w:sz w:val="20"/>
                <w:szCs w:val="20"/>
                <w:color w:val="auto"/>
              </w:rPr>
            </w:pPr>
            <w:r>
              <w:rPr>
                <w:rFonts w:ascii="Times New Roman" w:cs="Times New Roman" w:eastAsia="Times New Roman" w:hAnsi="Times New Roman"/>
                <w:sz w:val="10"/>
                <w:szCs w:val="10"/>
                <w:b w:val="1"/>
                <w:bCs w:val="1"/>
                <w:color w:val="auto"/>
              </w:rPr>
              <w:t>2024</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900" w:type="dxa"/>
            <w:vAlign w:val="bottom"/>
            <w:tcBorders>
              <w:top w:val="single" w:sz="8" w:color="auto"/>
            </w:tcBorders>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Balance sheet location</w:t>
            </w: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Fair value</w:t>
            </w:r>
          </w:p>
        </w:tc>
        <w:tc>
          <w:tcPr>
            <w:tcW w:w="2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tcBorders>
              <w:top w:val="single" w:sz="8" w:color="auto"/>
            </w:tcBorders>
            <w:gridSpan w:val="2"/>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Balance sheet location</w:t>
            </w:r>
          </w:p>
        </w:tc>
        <w:tc>
          <w:tcPr>
            <w:tcW w:w="1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right"/>
              <w:ind w:right="230"/>
              <w:spacing w:after="0" w:line="111" w:lineRule="exact"/>
              <w:rPr>
                <w:sz w:val="20"/>
                <w:szCs w:val="20"/>
                <w:color w:val="auto"/>
              </w:rPr>
            </w:pPr>
            <w:r>
              <w:rPr>
                <w:rFonts w:ascii="Times New Roman" w:cs="Times New Roman" w:eastAsia="Times New Roman" w:hAnsi="Times New Roman"/>
                <w:sz w:val="10"/>
                <w:szCs w:val="10"/>
                <w:b w:val="1"/>
                <w:bCs w:val="1"/>
                <w:color w:val="auto"/>
              </w:rPr>
              <w:t>Fair value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880" w:type="dxa"/>
            <w:vAlign w:val="bottom"/>
            <w:tcBorders>
              <w:top w:val="single" w:sz="8" w:color="auto"/>
            </w:tcBorders>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Interest rate contracts</w:t>
            </w:r>
          </w:p>
        </w:tc>
        <w:tc>
          <w:tcPr>
            <w:tcW w:w="160" w:type="dxa"/>
            <w:vAlign w:val="bottom"/>
            <w:tcBorders>
              <w:top w:val="single" w:sz="8" w:color="CCEEFF"/>
            </w:tcBorders>
            <w:shd w:val="clear" w:color="auto" w:fill="CCEEFF"/>
          </w:tcPr>
          <w:p>
            <w:pPr>
              <w:spacing w:after="0"/>
              <w:rPr>
                <w:sz w:val="9"/>
                <w:szCs w:val="9"/>
                <w:color w:val="auto"/>
              </w:rPr>
            </w:pPr>
          </w:p>
        </w:tc>
        <w:tc>
          <w:tcPr>
            <w:tcW w:w="2900" w:type="dxa"/>
            <w:vAlign w:val="bottom"/>
            <w:tcBorders>
              <w:top w:val="single" w:sz="8" w:color="auto"/>
            </w:tcBorders>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Derivative financial instruments - current portion</w:t>
            </w:r>
          </w:p>
        </w:tc>
        <w:tc>
          <w:tcPr>
            <w:tcW w:w="16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ind w:right="650"/>
              <w:spacing w:after="0" w:line="111" w:lineRule="exact"/>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131</w:t>
            </w: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88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Derivative financial instruments - current portion</w:t>
            </w:r>
          </w:p>
        </w:tc>
        <w:tc>
          <w:tcPr>
            <w:tcW w:w="1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50"/>
              <w:spacing w:after="0" w:line="111" w:lineRule="exact"/>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880" w:type="dxa"/>
            <w:vAlign w:val="bottom"/>
          </w:tcPr>
          <w:p>
            <w:pPr>
              <w:spacing w:after="0"/>
              <w:rPr>
                <w:sz w:val="9"/>
                <w:szCs w:val="9"/>
                <w:color w:val="auto"/>
              </w:rPr>
            </w:pPr>
          </w:p>
        </w:tc>
        <w:tc>
          <w:tcPr>
            <w:tcW w:w="3060" w:type="dxa"/>
            <w:vAlign w:val="bottom"/>
            <w:gridSpan w:val="2"/>
          </w:tcPr>
          <w:p>
            <w:pPr>
              <w:ind w:left="160"/>
              <w:spacing w:after="0" w:line="112" w:lineRule="exact"/>
              <w:rPr>
                <w:sz w:val="20"/>
                <w:szCs w:val="20"/>
                <w:color w:val="auto"/>
              </w:rPr>
            </w:pPr>
            <w:r>
              <w:rPr>
                <w:rFonts w:ascii="Times New Roman" w:cs="Times New Roman" w:eastAsia="Times New Roman" w:hAnsi="Times New Roman"/>
                <w:sz w:val="10"/>
                <w:szCs w:val="10"/>
                <w:color w:val="auto"/>
              </w:rPr>
              <w:t>Derivative financial instruments - non-current portion</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gridSpan w:val="2"/>
          </w:tcPr>
          <w:p>
            <w:pPr>
              <w:ind w:left="1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3040" w:type="dxa"/>
            <w:vAlign w:val="bottom"/>
            <w:gridSpan w:val="2"/>
          </w:tcPr>
          <w:p>
            <w:pPr>
              <w:jc w:val="right"/>
              <w:ind w:right="160"/>
              <w:spacing w:after="0" w:line="112" w:lineRule="exact"/>
              <w:rPr>
                <w:sz w:val="20"/>
                <w:szCs w:val="20"/>
                <w:color w:val="auto"/>
              </w:rPr>
            </w:pPr>
            <w:r>
              <w:rPr>
                <w:rFonts w:ascii="Times New Roman" w:cs="Times New Roman" w:eastAsia="Times New Roman" w:hAnsi="Times New Roman"/>
                <w:sz w:val="10"/>
                <w:szCs w:val="10"/>
                <w:color w:val="auto"/>
              </w:rPr>
              <w:t>Derivative financial instruments - non-current portion</w:t>
            </w:r>
          </w:p>
        </w:tc>
        <w:tc>
          <w:tcPr>
            <w:tcW w:w="160" w:type="dxa"/>
            <w:vAlign w:val="bottom"/>
          </w:tcPr>
          <w:p>
            <w:pPr>
              <w:spacing w:after="0"/>
              <w:rPr>
                <w:sz w:val="9"/>
                <w:szCs w:val="9"/>
                <w:color w:val="auto"/>
              </w:rPr>
            </w:pPr>
          </w:p>
        </w:tc>
        <w:tc>
          <w:tcPr>
            <w:tcW w:w="8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137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80" w:type="dxa"/>
            <w:vAlign w:val="bottom"/>
            <w:tcBorders>
              <w:top w:val="single" w:sz="8" w:color="CCEEFF"/>
              <w:bottom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Total derivatives designated as hedging instruments</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900" w:type="dxa"/>
            <w:vAlign w:val="bottom"/>
            <w:tcBorders>
              <w:top w:val="single" w:sz="8" w:color="auto"/>
              <w:bottom w:val="single" w:sz="8" w:color="auto"/>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gridSpan w:val="2"/>
            <w:shd w:val="clear" w:color="auto" w:fill="CCEEFF"/>
          </w:tcPr>
          <w:p>
            <w:pPr>
              <w:jc w:val="right"/>
              <w:ind w:right="650"/>
              <w:spacing w:after="0" w:line="101" w:lineRule="exact"/>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131</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880" w:type="dxa"/>
            <w:vAlign w:val="bottom"/>
            <w:tcBorders>
              <w:top w:val="single" w:sz="8" w:color="auto"/>
              <w:bottom w:val="single" w:sz="8" w:color="auto"/>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5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137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880" w:type="dxa"/>
            <w:vAlign w:val="bottom"/>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Total derivatives</w:t>
            </w:r>
          </w:p>
        </w:tc>
        <w:tc>
          <w:tcPr>
            <w:tcW w:w="160" w:type="dxa"/>
            <w:vAlign w:val="bottom"/>
          </w:tcPr>
          <w:p>
            <w:pPr>
              <w:spacing w:after="0"/>
              <w:rPr>
                <w:sz w:val="7"/>
                <w:szCs w:val="7"/>
                <w:color w:val="auto"/>
              </w:rPr>
            </w:pPr>
          </w:p>
        </w:tc>
        <w:tc>
          <w:tcPr>
            <w:tcW w:w="29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gridSpan w:val="2"/>
          </w:tcPr>
          <w:p>
            <w:pPr>
              <w:jc w:val="right"/>
              <w:ind w:right="650"/>
              <w:spacing w:after="0" w:line="91" w:lineRule="exact"/>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131</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jc w:val="right"/>
              <w:ind w:right="50"/>
              <w:spacing w:after="0" w:line="9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137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color w:val="auto"/>
        </w:rPr>
        <w:t>The changes in fair value of that instrument were recorded in Other Comprehensive Income and released into interest expense in the same period(s) in which the hedged transactions affect earnings. In the quarter and nine months ended September 30, 2025 and September 30, 2024, respectively, the derivative instruments affected Comprehensive Income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4000" w:type="dxa"/>
            <w:vAlign w:val="bottom"/>
            <w:tcBorders>
              <w:bottom w:val="single" w:sz="8" w:color="auto"/>
            </w:tcBorders>
            <w:gridSpan w:val="3"/>
          </w:tcPr>
          <w:p>
            <w:pPr>
              <w:ind w:left="1560"/>
              <w:spacing w:after="0"/>
              <w:rPr>
                <w:sz w:val="20"/>
                <w:szCs w:val="20"/>
                <w:color w:val="auto"/>
              </w:rPr>
            </w:pPr>
            <w:r>
              <w:rPr>
                <w:rFonts w:ascii="Times New Roman" w:cs="Times New Roman" w:eastAsia="Times New Roman" w:hAnsi="Times New Roman"/>
                <w:sz w:val="10"/>
                <w:szCs w:val="10"/>
                <w:b w:val="1"/>
                <w:bCs w:val="1"/>
                <w:color w:val="auto"/>
              </w:rPr>
              <w:t>Location of Loss Recognized in Income on Derivatives</w:t>
            </w:r>
          </w:p>
        </w:tc>
        <w:tc>
          <w:tcPr>
            <w:tcW w:w="1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90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0"/>
                <w:szCs w:val="10"/>
                <w:b w:val="1"/>
                <w:bCs w:val="1"/>
                <w:color w:val="auto"/>
              </w:rPr>
              <w:t>Amount of Loss (Gain) Recognized in Income on Derivatives</w:t>
            </w: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2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gridSpan w:val="6"/>
          </w:tcPr>
          <w:p>
            <w:pPr>
              <w:ind w:left="580"/>
              <w:spacing w:after="0" w:line="111" w:lineRule="exact"/>
              <w:rPr>
                <w:sz w:val="20"/>
                <w:szCs w:val="20"/>
                <w:color w:val="auto"/>
              </w:rPr>
            </w:pPr>
            <w:r>
              <w:rPr>
                <w:rFonts w:ascii="Times New Roman" w:cs="Times New Roman" w:eastAsia="Times New Roman" w:hAnsi="Times New Roman"/>
                <w:sz w:val="10"/>
                <w:szCs w:val="10"/>
                <w:b w:val="1"/>
                <w:bCs w:val="1"/>
                <w:color w:val="auto"/>
              </w:rPr>
              <w:t>Quarter Ended September 30</w:t>
            </w:r>
          </w:p>
        </w:tc>
        <w:tc>
          <w:tcPr>
            <w:tcW w:w="4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760" w:type="dxa"/>
            <w:vAlign w:val="bottom"/>
            <w:tcBorders>
              <w:bottom w:val="single" w:sz="8" w:color="auto"/>
            </w:tcBorders>
            <w:gridSpan w:val="7"/>
          </w:tcPr>
          <w:p>
            <w:pPr>
              <w:jc w:val="right"/>
              <w:ind w:right="610"/>
              <w:spacing w:after="0" w:line="111" w:lineRule="exact"/>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240" w:type="dxa"/>
            <w:vAlign w:val="bottom"/>
            <w:tcBorders>
              <w:bottom w:val="single" w:sz="8" w:color="CCEEFF"/>
            </w:tcBorders>
          </w:tcPr>
          <w:p>
            <w:pPr>
              <w:spacing w:after="0"/>
              <w:rPr>
                <w:sz w:val="9"/>
                <w:szCs w:val="9"/>
                <w:color w:val="auto"/>
              </w:rPr>
            </w:pPr>
          </w:p>
        </w:tc>
        <w:tc>
          <w:tcPr>
            <w:tcW w:w="238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40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960" w:type="dxa"/>
            <w:vAlign w:val="bottom"/>
            <w:tcBorders>
              <w:bottom w:val="single" w:sz="8" w:color="auto"/>
            </w:tcBorders>
            <w:gridSpan w:val="2"/>
          </w:tcPr>
          <w:p>
            <w:pPr>
              <w:jc w:val="right"/>
              <w:ind w:right="85"/>
              <w:spacing w:after="0" w:line="111" w:lineRule="exact"/>
              <w:rPr>
                <w:sz w:val="20"/>
                <w:szCs w:val="20"/>
                <w:color w:val="auto"/>
              </w:rPr>
            </w:pPr>
            <w:r>
              <w:rPr>
                <w:rFonts w:ascii="Times New Roman" w:cs="Times New Roman" w:eastAsia="Times New Roman" w:hAnsi="Times New Roman"/>
                <w:sz w:val="10"/>
                <w:szCs w:val="10"/>
                <w:b w:val="1"/>
                <w:bCs w:val="1"/>
                <w:color w:val="auto"/>
              </w:rPr>
              <w:t>2025</w:t>
            </w:r>
          </w:p>
        </w:tc>
        <w:tc>
          <w:tcPr>
            <w:tcW w:w="360" w:type="dxa"/>
            <w:vAlign w:val="bottom"/>
            <w:tcBorders>
              <w:bottom w:val="single" w:sz="8" w:color="auto"/>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30"/>
              <w:spacing w:after="0" w:line="111" w:lineRule="exact"/>
              <w:rPr>
                <w:sz w:val="20"/>
                <w:szCs w:val="20"/>
                <w:color w:val="auto"/>
              </w:rPr>
            </w:pPr>
            <w:r>
              <w:rPr>
                <w:rFonts w:ascii="Times New Roman" w:cs="Times New Roman" w:eastAsia="Times New Roman" w:hAnsi="Times New Roman"/>
                <w:sz w:val="10"/>
                <w:szCs w:val="10"/>
                <w:b w:val="1"/>
                <w:bCs w:val="1"/>
                <w:color w:val="auto"/>
              </w:rPr>
              <w:t>2024</w:t>
            </w: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040" w:type="dxa"/>
            <w:vAlign w:val="bottom"/>
            <w:tcBorders>
              <w:bottom w:val="single" w:sz="8" w:color="auto"/>
            </w:tcBorders>
            <w:gridSpan w:val="2"/>
          </w:tcPr>
          <w:p>
            <w:pPr>
              <w:jc w:val="right"/>
              <w:ind w:right="200"/>
              <w:spacing w:after="0" w:line="111" w:lineRule="exact"/>
              <w:rPr>
                <w:sz w:val="20"/>
                <w:szCs w:val="20"/>
                <w:color w:val="auto"/>
              </w:rPr>
            </w:pPr>
            <w:r>
              <w:rPr>
                <w:rFonts w:ascii="Times New Roman" w:cs="Times New Roman" w:eastAsia="Times New Roman" w:hAnsi="Times New Roman"/>
                <w:sz w:val="10"/>
                <w:szCs w:val="10"/>
                <w:b w:val="1"/>
                <w:bCs w:val="1"/>
                <w:color w:val="auto"/>
              </w:rPr>
              <w:t>2025</w:t>
            </w: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410"/>
              <w:spacing w:after="0" w:line="111" w:lineRule="exact"/>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2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Interest rate contracts</w:t>
            </w:r>
          </w:p>
        </w:tc>
        <w:tc>
          <w:tcPr>
            <w:tcW w:w="4000" w:type="dxa"/>
            <w:vAlign w:val="bottom"/>
            <w:gridSpan w:val="3"/>
            <w:shd w:val="clear" w:color="auto" w:fill="CCEEFF"/>
          </w:tcPr>
          <w:p>
            <w:pPr>
              <w:ind w:left="1560"/>
              <w:spacing w:after="0" w:line="111" w:lineRule="exact"/>
              <w:rPr>
                <w:sz w:val="20"/>
                <w:szCs w:val="20"/>
                <w:color w:val="auto"/>
              </w:rPr>
            </w:pPr>
            <w:r>
              <w:rPr>
                <w:rFonts w:ascii="Times New Roman" w:cs="Times New Roman" w:eastAsia="Times New Roman" w:hAnsi="Times New Roman"/>
                <w:sz w:val="10"/>
                <w:szCs w:val="10"/>
                <w:color w:val="auto"/>
              </w:rPr>
              <w:t>Interest expense</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(28)</w:t>
            </w:r>
          </w:p>
        </w:tc>
        <w:tc>
          <w:tcPr>
            <w:tcW w:w="18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gridSpan w:val="2"/>
            <w:shd w:val="clear" w:color="auto" w:fill="CCEEFF"/>
          </w:tcPr>
          <w:p>
            <w:pPr>
              <w:ind w:left="120"/>
              <w:spacing w:after="0" w:line="111"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auto"/>
            </w:tcBorders>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tcBorders>
              <w:bottom w:val="single" w:sz="8" w:color="auto"/>
            </w:tcBorders>
            <w:shd w:val="clear" w:color="auto" w:fill="CCEEFF"/>
          </w:tcPr>
          <w:p>
            <w:pPr>
              <w:jc w:val="right"/>
              <w:ind w:right="730"/>
              <w:spacing w:after="0" w:line="111" w:lineRule="exact"/>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Borders>
              <w:bottom w:val="single" w:sz="8" w:color="auto"/>
            </w:tcBorders>
            <w:shd w:val="clear" w:color="auto" w:fill="CCEEFF"/>
          </w:tcPr>
          <w:p>
            <w:pPr>
              <w:spacing w:after="0"/>
              <w:rPr>
                <w:sz w:val="9"/>
                <w:szCs w:val="9"/>
                <w:color w:val="auto"/>
              </w:rPr>
            </w:pPr>
          </w:p>
        </w:tc>
        <w:tc>
          <w:tcPr>
            <w:tcW w:w="280" w:type="dxa"/>
            <w:vAlign w:val="bottom"/>
            <w:tcBorders>
              <w:bottom w:val="single" w:sz="8" w:color="auto"/>
            </w:tcBorders>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(39)</w:t>
            </w:r>
          </w:p>
        </w:tc>
        <w:tc>
          <w:tcPr>
            <w:tcW w:w="16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jc w:val="right"/>
              <w:ind w:right="190"/>
              <w:spacing w:after="0" w:line="111" w:lineRule="exact"/>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240" w:type="dxa"/>
            <w:vAlign w:val="bottom"/>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Total</w:t>
            </w:r>
          </w:p>
        </w:tc>
        <w:tc>
          <w:tcPr>
            <w:tcW w:w="2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(28)</w:t>
            </w:r>
          </w:p>
        </w:tc>
        <w:tc>
          <w:tcPr>
            <w:tcW w:w="180" w:type="dxa"/>
            <w:vAlign w:val="bottom"/>
          </w:tcPr>
          <w:p>
            <w:pPr>
              <w:spacing w:after="0"/>
              <w:rPr>
                <w:sz w:val="8"/>
                <w:szCs w:val="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ind w:left="20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bottom w:val="single" w:sz="8" w:color="auto"/>
            </w:tcBorders>
          </w:tcPr>
          <w:p>
            <w:pPr>
              <w:jc w:val="right"/>
              <w:ind w:right="73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(39)</w:t>
            </w:r>
          </w:p>
        </w:tc>
        <w:tc>
          <w:tcPr>
            <w:tcW w:w="160" w:type="dxa"/>
            <w:vAlign w:val="bottom"/>
          </w:tcPr>
          <w:p>
            <w:pPr>
              <w:spacing w:after="0"/>
              <w:rPr>
                <w:sz w:val="8"/>
                <w:szCs w:val="8"/>
                <w:color w:val="auto"/>
              </w:rPr>
            </w:pPr>
          </w:p>
        </w:tc>
        <w:tc>
          <w:tcPr>
            <w:tcW w:w="300" w:type="dxa"/>
            <w:vAlign w:val="bottom"/>
            <w:tcBorders>
              <w:bottom w:val="single" w:sz="8" w:color="auto"/>
            </w:tcBorders>
          </w:tcPr>
          <w:p>
            <w:pPr>
              <w:jc w:val="right"/>
              <w:ind w:right="1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2"/>
        </w:trPr>
        <w:tc>
          <w:tcPr>
            <w:tcW w:w="124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1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Loss (Gain) Recognized in OCI on Derivatives (Effective Portion)</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240" w:type="dxa"/>
            <w:vAlign w:val="bottom"/>
            <w:tcBorders>
              <w:bottom w:val="single" w:sz="8" w:color="auto"/>
            </w:tcBorders>
            <w:vMerge w:val="continue"/>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4"/>
          </w:tcPr>
          <w:p>
            <w:pPr>
              <w:jc w:val="center"/>
              <w:ind w:right="565"/>
              <w:spacing w:after="0" w:line="111"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3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5"/>
          </w:tcPr>
          <w:p>
            <w:pPr>
              <w:jc w:val="center"/>
              <w:ind w:left="350"/>
              <w:spacing w:after="0" w:line="111" w:lineRule="exact"/>
              <w:rPr>
                <w:sz w:val="20"/>
                <w:szCs w:val="20"/>
                <w:color w:val="auto"/>
              </w:rPr>
            </w:pPr>
            <w:r>
              <w:rPr>
                <w:rFonts w:ascii="Times New Roman" w:cs="Times New Roman" w:eastAsia="Times New Roman" w:hAnsi="Times New Roman"/>
                <w:sz w:val="10"/>
                <w:szCs w:val="10"/>
                <w:b w:val="1"/>
                <w:bCs w:val="1"/>
                <w:color w:val="auto"/>
              </w:rPr>
              <w:t>Amount</w:t>
            </w: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2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80" w:type="dxa"/>
            <w:vAlign w:val="bottom"/>
            <w:tcBorders>
              <w:bottom w:val="single" w:sz="8" w:color="auto"/>
            </w:tcBorders>
            <w:gridSpan w:val="6"/>
          </w:tcPr>
          <w:p>
            <w:pPr>
              <w:jc w:val="center"/>
              <w:ind w:left="903"/>
              <w:spacing w:after="0" w:line="111" w:lineRule="exact"/>
              <w:rPr>
                <w:sz w:val="20"/>
                <w:szCs w:val="20"/>
                <w:color w:val="auto"/>
              </w:rPr>
            </w:pPr>
            <w:r>
              <w:rPr>
                <w:rFonts w:ascii="Times New Roman" w:cs="Times New Roman" w:eastAsia="Times New Roman" w:hAnsi="Times New Roman"/>
                <w:sz w:val="10"/>
                <w:szCs w:val="10"/>
                <w:b w:val="1"/>
                <w:bCs w:val="1"/>
                <w:color w:val="auto"/>
                <w:w w:val="99"/>
              </w:rPr>
              <w:t>Quarter Ended September 30</w:t>
            </w:r>
          </w:p>
        </w:tc>
        <w:tc>
          <w:tcPr>
            <w:tcW w:w="3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gridSpan w:val="6"/>
          </w:tcPr>
          <w:p>
            <w:pPr>
              <w:jc w:val="center"/>
              <w:ind w:left="50"/>
              <w:spacing w:after="0" w:line="111" w:lineRule="exact"/>
              <w:rPr>
                <w:sz w:val="20"/>
                <w:szCs w:val="20"/>
                <w:color w:val="auto"/>
              </w:rPr>
            </w:pPr>
            <w:r>
              <w:rPr>
                <w:rFonts w:ascii="Times New Roman" w:cs="Times New Roman" w:eastAsia="Times New Roman" w:hAnsi="Times New Roman"/>
                <w:sz w:val="10"/>
                <w:szCs w:val="10"/>
                <w:b w:val="1"/>
                <w:bCs w:val="1"/>
                <w:color w:val="auto"/>
                <w:w w:val="98"/>
              </w:rPr>
              <w:t>Nine Months Ended September 30</w:t>
            </w: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240" w:type="dxa"/>
            <w:vAlign w:val="bottom"/>
            <w:tcBorders>
              <w:bottom w:val="single" w:sz="8" w:color="CCEEFF"/>
            </w:tcBorders>
          </w:tcPr>
          <w:p>
            <w:pPr>
              <w:spacing w:after="0"/>
              <w:rPr>
                <w:sz w:val="9"/>
                <w:szCs w:val="9"/>
                <w:color w:val="auto"/>
              </w:rPr>
            </w:pPr>
          </w:p>
        </w:tc>
        <w:tc>
          <w:tcPr>
            <w:tcW w:w="2600" w:type="dxa"/>
            <w:vAlign w:val="bottom"/>
            <w:tcBorders>
              <w:bottom w:val="single" w:sz="8" w:color="CCEEFF"/>
            </w:tcBorders>
            <w:gridSpan w:val="2"/>
          </w:tcPr>
          <w:p>
            <w:pPr>
              <w:spacing w:after="0"/>
              <w:rPr>
                <w:sz w:val="9"/>
                <w:szCs w:val="9"/>
                <w:color w:val="auto"/>
              </w:rPr>
            </w:pPr>
          </w:p>
        </w:tc>
        <w:tc>
          <w:tcPr>
            <w:tcW w:w="1400" w:type="dxa"/>
            <w:vAlign w:val="bottom"/>
            <w:tcBorders>
              <w:bottom w:val="single" w:sz="8" w:color="auto"/>
            </w:tcBorders>
          </w:tcPr>
          <w:p>
            <w:pPr>
              <w:jc w:val="right"/>
              <w:ind w:right="303"/>
              <w:spacing w:after="0" w:line="111" w:lineRule="exact"/>
              <w:rPr>
                <w:sz w:val="20"/>
                <w:szCs w:val="20"/>
                <w:color w:val="auto"/>
              </w:rPr>
            </w:pPr>
            <w:r>
              <w:rPr>
                <w:rFonts w:ascii="Times New Roman" w:cs="Times New Roman" w:eastAsia="Times New Roman" w:hAnsi="Times New Roman"/>
                <w:sz w:val="10"/>
                <w:szCs w:val="10"/>
                <w:b w:val="1"/>
                <w:bCs w:val="1"/>
                <w:color w:val="auto"/>
              </w:rPr>
              <w:t>2025</w:t>
            </w:r>
          </w:p>
        </w:tc>
        <w:tc>
          <w:tcPr>
            <w:tcW w:w="1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30"/>
              <w:spacing w:after="0" w:line="111" w:lineRule="exact"/>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2"/>
          </w:tcPr>
          <w:p>
            <w:pPr>
              <w:jc w:val="right"/>
              <w:ind w:right="610"/>
              <w:spacing w:after="0" w:line="111" w:lineRule="exact"/>
              <w:rPr>
                <w:sz w:val="20"/>
                <w:szCs w:val="20"/>
                <w:color w:val="auto"/>
              </w:rPr>
            </w:pPr>
            <w:r>
              <w:rPr>
                <w:rFonts w:ascii="Times New Roman" w:cs="Times New Roman" w:eastAsia="Times New Roman" w:hAnsi="Times New Roman"/>
                <w:sz w:val="10"/>
                <w:szCs w:val="10"/>
                <w:b w:val="1"/>
                <w:bCs w:val="1"/>
                <w:color w:val="auto"/>
              </w:rPr>
              <w:t>2025</w:t>
            </w:r>
          </w:p>
        </w:tc>
        <w:tc>
          <w:tcPr>
            <w:tcW w:w="2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610"/>
              <w:spacing w:after="0" w:line="111" w:lineRule="exact"/>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2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Interest rate contracts</w:t>
            </w:r>
          </w:p>
        </w:tc>
        <w:tc>
          <w:tcPr>
            <w:tcW w:w="2600" w:type="dxa"/>
            <w:vAlign w:val="bottom"/>
            <w:gridSpan w:val="2"/>
            <w:shd w:val="clear" w:color="auto" w:fill="CCEEFF"/>
          </w:tcPr>
          <w:p>
            <w:pPr>
              <w:spacing w:after="0"/>
              <w:rPr>
                <w:sz w:val="9"/>
                <w:szCs w:val="9"/>
                <w:color w:val="auto"/>
              </w:rPr>
            </w:pPr>
          </w:p>
        </w:tc>
        <w:tc>
          <w:tcPr>
            <w:tcW w:w="1400" w:type="dxa"/>
            <w:vAlign w:val="bottom"/>
            <w:tcBorders>
              <w:bottom w:val="single" w:sz="8" w:color="auto"/>
            </w:tcBorders>
            <w:shd w:val="clear" w:color="auto" w:fill="CCEEFF"/>
          </w:tcPr>
          <w:p>
            <w:pPr>
              <w:jc w:val="right"/>
              <w:ind w:right="1323"/>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bottom w:val="single" w:sz="8" w:color="auto"/>
            </w:tcBorders>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(77)</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bottom w:val="single" w:sz="8" w:color="auto"/>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167</w:t>
            </w:r>
          </w:p>
        </w:tc>
        <w:tc>
          <w:tcPr>
            <w:tcW w:w="200" w:type="dxa"/>
            <w:vAlign w:val="bottom"/>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ind w:right="310"/>
              <w:spacing w:after="0" w:line="111" w:lineRule="exact"/>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920" w:type="dxa"/>
            <w:vAlign w:val="bottom"/>
            <w:tcBorders>
              <w:bottom w:val="single" w:sz="8" w:color="auto"/>
            </w:tcBorders>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24</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5"/>
                <w:szCs w:val="5"/>
                <w:color w:val="auto"/>
                <w:w w:val="78"/>
              </w:rPr>
              <w:t>$</w:t>
            </w:r>
          </w:p>
        </w:tc>
        <w:tc>
          <w:tcPr>
            <w:tcW w:w="160" w:type="dxa"/>
            <w:vAlign w:val="bottom"/>
            <w:tcBorders>
              <w:bottom w:val="single" w:sz="8" w:color="auto"/>
            </w:tcBorders>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269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240" w:type="dxa"/>
            <w:vAlign w:val="bottom"/>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Total</w:t>
            </w:r>
          </w:p>
        </w:tc>
        <w:tc>
          <w:tcPr>
            <w:tcW w:w="2600" w:type="dxa"/>
            <w:vAlign w:val="bottom"/>
            <w:gridSpan w:val="2"/>
          </w:tcPr>
          <w:p>
            <w:pPr>
              <w:spacing w:after="0"/>
              <w:rPr>
                <w:sz w:val="8"/>
                <w:szCs w:val="8"/>
                <w:color w:val="auto"/>
              </w:rPr>
            </w:pPr>
          </w:p>
        </w:tc>
        <w:tc>
          <w:tcPr>
            <w:tcW w:w="1400" w:type="dxa"/>
            <w:vAlign w:val="bottom"/>
            <w:tcBorders>
              <w:bottom w:val="single" w:sz="8" w:color="auto"/>
            </w:tcBorders>
          </w:tcPr>
          <w:p>
            <w:pPr>
              <w:jc w:val="right"/>
              <w:ind w:right="132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00" w:type="dxa"/>
            <w:vAlign w:val="bottom"/>
            <w:tcBorders>
              <w:bottom w:val="single" w:sz="8" w:color="auto"/>
            </w:tcBorders>
            <w:gridSpan w:val="2"/>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(77)</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167</w:t>
            </w:r>
          </w:p>
        </w:tc>
        <w:tc>
          <w:tcPr>
            <w:tcW w:w="200" w:type="dxa"/>
            <w:vAlign w:val="bottom"/>
          </w:tcPr>
          <w:p>
            <w:pPr>
              <w:spacing w:after="0"/>
              <w:rPr>
                <w:sz w:val="8"/>
                <w:szCs w:val="8"/>
                <w:color w:val="auto"/>
              </w:rPr>
            </w:pPr>
          </w:p>
        </w:tc>
        <w:tc>
          <w:tcPr>
            <w:tcW w:w="420" w:type="dxa"/>
            <w:vAlign w:val="bottom"/>
            <w:tcBorders>
              <w:bottom w:val="single" w:sz="8" w:color="auto"/>
            </w:tcBorders>
          </w:tcPr>
          <w:p>
            <w:pPr>
              <w:jc w:val="right"/>
              <w:ind w:right="31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24</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269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2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1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9"/>
              </w:rPr>
              <w:t>Loss (Gain) Reclassified from OCI into Income (Effective Portion)</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24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ind w:left="360"/>
              <w:spacing w:after="0" w:line="111" w:lineRule="exact"/>
              <w:rPr>
                <w:sz w:val="20"/>
                <w:szCs w:val="20"/>
                <w:color w:val="auto"/>
              </w:rPr>
            </w:pPr>
            <w:r>
              <w:rPr>
                <w:rFonts w:ascii="Times New Roman" w:cs="Times New Roman" w:eastAsia="Times New Roman" w:hAnsi="Times New Roman"/>
                <w:sz w:val="10"/>
                <w:szCs w:val="10"/>
                <w:b w:val="1"/>
                <w:bCs w:val="1"/>
                <w:color w:val="auto"/>
              </w:rPr>
              <w:t>Line Item</w:t>
            </w:r>
          </w:p>
        </w:tc>
        <w:tc>
          <w:tcPr>
            <w:tcW w:w="220" w:type="dxa"/>
            <w:vAlign w:val="bottom"/>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4"/>
          </w:tcPr>
          <w:p>
            <w:pPr>
              <w:jc w:val="center"/>
              <w:ind w:right="565"/>
              <w:spacing w:after="0" w:line="111"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3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5"/>
          </w:tcPr>
          <w:p>
            <w:pPr>
              <w:jc w:val="center"/>
              <w:ind w:left="350"/>
              <w:spacing w:after="0" w:line="111" w:lineRule="exact"/>
              <w:rPr>
                <w:sz w:val="20"/>
                <w:szCs w:val="20"/>
                <w:color w:val="auto"/>
              </w:rPr>
            </w:pPr>
            <w:r>
              <w:rPr>
                <w:rFonts w:ascii="Times New Roman" w:cs="Times New Roman" w:eastAsia="Times New Roman" w:hAnsi="Times New Roman"/>
                <w:sz w:val="10"/>
                <w:szCs w:val="10"/>
                <w:b w:val="1"/>
                <w:bCs w:val="1"/>
                <w:color w:val="auto"/>
              </w:rPr>
              <w:t>Amount</w:t>
            </w: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2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80" w:type="dxa"/>
            <w:vAlign w:val="bottom"/>
            <w:tcBorders>
              <w:bottom w:val="single" w:sz="8" w:color="auto"/>
            </w:tcBorders>
            <w:gridSpan w:val="6"/>
          </w:tcPr>
          <w:p>
            <w:pPr>
              <w:jc w:val="center"/>
              <w:ind w:left="903"/>
              <w:spacing w:after="0" w:line="111" w:lineRule="exact"/>
              <w:rPr>
                <w:sz w:val="20"/>
                <w:szCs w:val="20"/>
                <w:color w:val="auto"/>
              </w:rPr>
            </w:pPr>
            <w:r>
              <w:rPr>
                <w:rFonts w:ascii="Times New Roman" w:cs="Times New Roman" w:eastAsia="Times New Roman" w:hAnsi="Times New Roman"/>
                <w:sz w:val="10"/>
                <w:szCs w:val="10"/>
                <w:b w:val="1"/>
                <w:bCs w:val="1"/>
                <w:color w:val="auto"/>
                <w:w w:val="99"/>
              </w:rPr>
              <w:t>Quarter Ended September 30</w:t>
            </w:r>
          </w:p>
        </w:tc>
        <w:tc>
          <w:tcPr>
            <w:tcW w:w="3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gridSpan w:val="6"/>
          </w:tcPr>
          <w:p>
            <w:pPr>
              <w:jc w:val="center"/>
              <w:ind w:left="50"/>
              <w:spacing w:after="0" w:line="111" w:lineRule="exact"/>
              <w:rPr>
                <w:sz w:val="20"/>
                <w:szCs w:val="20"/>
                <w:color w:val="auto"/>
              </w:rPr>
            </w:pPr>
            <w:r>
              <w:rPr>
                <w:rFonts w:ascii="Times New Roman" w:cs="Times New Roman" w:eastAsia="Times New Roman" w:hAnsi="Times New Roman"/>
                <w:sz w:val="10"/>
                <w:szCs w:val="10"/>
                <w:b w:val="1"/>
                <w:bCs w:val="1"/>
                <w:color w:val="auto"/>
                <w:w w:val="98"/>
              </w:rPr>
              <w:t>Nine Months Ended September 30</w:t>
            </w: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240" w:type="dxa"/>
            <w:vAlign w:val="bottom"/>
            <w:tcBorders>
              <w:bottom w:val="single" w:sz="8" w:color="CCEEFF"/>
            </w:tcBorders>
          </w:tcPr>
          <w:p>
            <w:pPr>
              <w:spacing w:after="0"/>
              <w:rPr>
                <w:sz w:val="9"/>
                <w:szCs w:val="9"/>
                <w:color w:val="auto"/>
              </w:rPr>
            </w:pPr>
          </w:p>
        </w:tc>
        <w:tc>
          <w:tcPr>
            <w:tcW w:w="238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400" w:type="dxa"/>
            <w:vAlign w:val="bottom"/>
            <w:tcBorders>
              <w:bottom w:val="single" w:sz="8" w:color="auto"/>
            </w:tcBorders>
          </w:tcPr>
          <w:p>
            <w:pPr>
              <w:jc w:val="right"/>
              <w:ind w:right="303"/>
              <w:spacing w:after="0" w:line="111" w:lineRule="exact"/>
              <w:rPr>
                <w:sz w:val="20"/>
                <w:szCs w:val="20"/>
                <w:color w:val="auto"/>
              </w:rPr>
            </w:pPr>
            <w:r>
              <w:rPr>
                <w:rFonts w:ascii="Times New Roman" w:cs="Times New Roman" w:eastAsia="Times New Roman" w:hAnsi="Times New Roman"/>
                <w:sz w:val="10"/>
                <w:szCs w:val="10"/>
                <w:b w:val="1"/>
                <w:bCs w:val="1"/>
                <w:color w:val="auto"/>
              </w:rPr>
              <w:t>2025</w:t>
            </w:r>
          </w:p>
        </w:tc>
        <w:tc>
          <w:tcPr>
            <w:tcW w:w="1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30"/>
              <w:spacing w:after="0" w:line="111" w:lineRule="exact"/>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2"/>
          </w:tcPr>
          <w:p>
            <w:pPr>
              <w:jc w:val="right"/>
              <w:ind w:right="610"/>
              <w:spacing w:after="0" w:line="111" w:lineRule="exact"/>
              <w:rPr>
                <w:sz w:val="20"/>
                <w:szCs w:val="20"/>
                <w:color w:val="auto"/>
              </w:rPr>
            </w:pPr>
            <w:r>
              <w:rPr>
                <w:rFonts w:ascii="Times New Roman" w:cs="Times New Roman" w:eastAsia="Times New Roman" w:hAnsi="Times New Roman"/>
                <w:sz w:val="10"/>
                <w:szCs w:val="10"/>
                <w:b w:val="1"/>
                <w:bCs w:val="1"/>
                <w:color w:val="auto"/>
              </w:rPr>
              <w:t>2025</w:t>
            </w:r>
          </w:p>
        </w:tc>
        <w:tc>
          <w:tcPr>
            <w:tcW w:w="2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610"/>
              <w:spacing w:after="0" w:line="111" w:lineRule="exact"/>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2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Interest expense</w:t>
            </w:r>
          </w:p>
        </w:tc>
        <w:tc>
          <w:tcPr>
            <w:tcW w:w="23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0" w:type="dxa"/>
            <w:vAlign w:val="bottom"/>
            <w:tcBorders>
              <w:bottom w:val="single" w:sz="8" w:color="auto"/>
            </w:tcBorders>
            <w:shd w:val="clear" w:color="auto" w:fill="CCEEFF"/>
          </w:tcPr>
          <w:p>
            <w:pPr>
              <w:jc w:val="right"/>
              <w:ind w:right="1323"/>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bottom w:val="single" w:sz="8" w:color="auto"/>
            </w:tcBorders>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(28)</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bottom w:val="single" w:sz="8" w:color="auto"/>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ind w:right="310"/>
              <w:spacing w:after="0" w:line="111" w:lineRule="exact"/>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920" w:type="dxa"/>
            <w:vAlign w:val="bottom"/>
            <w:tcBorders>
              <w:bottom w:val="single" w:sz="8" w:color="auto"/>
            </w:tcBorders>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(39)</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5"/>
                <w:szCs w:val="5"/>
                <w:color w:val="auto"/>
                <w:w w:val="78"/>
              </w:rPr>
              <w:t>$</w:t>
            </w:r>
          </w:p>
        </w:tc>
        <w:tc>
          <w:tcPr>
            <w:tcW w:w="160" w:type="dxa"/>
            <w:vAlign w:val="bottom"/>
            <w:tcBorders>
              <w:bottom w:val="single" w:sz="8" w:color="auto"/>
            </w:tcBorders>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240" w:type="dxa"/>
            <w:vAlign w:val="bottom"/>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Total</w:t>
            </w:r>
          </w:p>
        </w:tc>
        <w:tc>
          <w:tcPr>
            <w:tcW w:w="2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Borders>
              <w:bottom w:val="single" w:sz="8" w:color="auto"/>
            </w:tcBorders>
          </w:tcPr>
          <w:p>
            <w:pPr>
              <w:jc w:val="right"/>
              <w:ind w:right="132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00" w:type="dxa"/>
            <w:vAlign w:val="bottom"/>
            <w:tcBorders>
              <w:bottom w:val="single" w:sz="8" w:color="auto"/>
            </w:tcBorders>
            <w:gridSpan w:val="2"/>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(28)</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8"/>
                <w:szCs w:val="8"/>
                <w:color w:val="auto"/>
              </w:rPr>
            </w:pPr>
          </w:p>
        </w:tc>
        <w:tc>
          <w:tcPr>
            <w:tcW w:w="420" w:type="dxa"/>
            <w:vAlign w:val="bottom"/>
            <w:tcBorders>
              <w:bottom w:val="single" w:sz="8" w:color="auto"/>
            </w:tcBorders>
          </w:tcPr>
          <w:p>
            <w:pPr>
              <w:jc w:val="right"/>
              <w:ind w:right="31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(39)</w:t>
            </w:r>
          </w:p>
        </w:tc>
        <w:tc>
          <w:tcPr>
            <w:tcW w:w="2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September 30, 2025, we expect to release $195,000 to earnings over the remaining life of the derivative.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20 – Fair Value Measurements</w:t>
      </w:r>
    </w:p>
    <w:p>
      <w:pPr>
        <w:spacing w:after="0" w:line="12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2"/>
          <w:szCs w:val="12"/>
          <w:color w:val="auto"/>
        </w:rPr>
        <w:t xml:space="preserve">ASC 820, </w:t>
      </w:r>
      <w:r>
        <w:rPr>
          <w:rFonts w:ascii="Times New Roman" w:cs="Times New Roman" w:eastAsia="Times New Roman" w:hAnsi="Times New Roman"/>
          <w:sz w:val="12"/>
          <w:szCs w:val="12"/>
          <w:i w:val="1"/>
          <w:iCs w:val="1"/>
          <w:color w:val="auto"/>
        </w:rPr>
        <w:t>Fair Value Measurement</w:t>
      </w:r>
      <w:r>
        <w:rPr>
          <w:rFonts w:ascii="Times New Roman" w:cs="Times New Roman" w:eastAsia="Times New Roman" w:hAnsi="Times New Roman"/>
          <w:sz w:val="12"/>
          <w:szCs w:val="12"/>
          <w:color w:val="auto"/>
        </w:rPr>
        <w:t xml:space="preserve"> establishes a fair value hierarchy that prioritizes the inputs to valuation techniques used to measure fair value. The statement requires that assets and liabilities carried at fair value be classified and disclosed in one of the following three categories:</w:t>
      </w:r>
    </w:p>
    <w:p>
      <w:pPr>
        <w:spacing w:after="0" w:line="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Level 1: Quoted market prices in active markets for identical assets or liabilities;</w:t>
      </w:r>
    </w:p>
    <w:p>
      <w:pPr>
        <w:spacing w:after="0" w:line="57" w:lineRule="exact"/>
        <w:rPr>
          <w:sz w:val="20"/>
          <w:szCs w:val="20"/>
          <w:color w:val="auto"/>
        </w:rPr>
      </w:pPr>
    </w:p>
    <w:p>
      <w:pPr>
        <w:ind w:left="440" w:right="20"/>
        <w:spacing w:after="0" w:line="266" w:lineRule="auto"/>
        <w:rPr>
          <w:sz w:val="20"/>
          <w:szCs w:val="20"/>
          <w:color w:val="auto"/>
        </w:rPr>
      </w:pPr>
      <w:r>
        <w:rPr>
          <w:rFonts w:ascii="Times New Roman" w:cs="Times New Roman" w:eastAsia="Times New Roman" w:hAnsi="Times New Roman"/>
          <w:sz w:val="12"/>
          <w:szCs w:val="12"/>
          <w:color w:val="auto"/>
        </w:rPr>
        <w:t>Level 2: 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Level 3: Valuations derived from valuation techniques in which one or more significant inputs or significant value drivers are unobservable.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tables summarize our financial liabilities that are carried at cost and measured at fair value on a non-recurring basis as of September 30, 2025, and December 31, 2024, by level within the fair value hierarchy.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6"/>
              </w:rPr>
              <w:t>Carrying</w:t>
            </w:r>
          </w:p>
        </w:tc>
        <w:tc>
          <w:tcPr>
            <w:tcW w:w="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0"/>
                <w:szCs w:val="10"/>
                <w:b w:val="1"/>
                <w:bCs w:val="1"/>
                <w:color w:val="auto"/>
              </w:rPr>
              <w:t>Fair Value Measurement at September 30, 2025</w:t>
            </w: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0"/>
                <w:szCs w:val="10"/>
                <w:b w:val="1"/>
                <w:bCs w:val="1"/>
                <w:color w:val="auto"/>
                <w:w w:val="90"/>
              </w:rPr>
              <w:t>Value</w:t>
            </w:r>
            <w:r>
              <w:rPr>
                <w:rFonts w:ascii="Times New Roman" w:cs="Times New Roman" w:eastAsia="Times New Roman" w:hAnsi="Times New Roman"/>
                <w:sz w:val="16"/>
                <w:szCs w:val="16"/>
                <w:b w:val="1"/>
                <w:bCs w:val="1"/>
                <w:color w:val="auto"/>
                <w:w w:val="90"/>
                <w:vertAlign w:val="superscript"/>
              </w:rPr>
              <w:t>(1)</w:t>
            </w:r>
          </w:p>
        </w:tc>
        <w:tc>
          <w:tcPr>
            <w:tcW w:w="200" w:type="dxa"/>
            <w:vAlign w:val="bottom"/>
          </w:tcPr>
          <w:p>
            <w:pPr>
              <w:spacing w:after="0"/>
              <w:rPr>
                <w:sz w:val="12"/>
                <w:szCs w:val="12"/>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320" w:type="dxa"/>
            <w:vAlign w:val="bottom"/>
          </w:tcPr>
          <w:p>
            <w:pPr>
              <w:spacing w:after="0"/>
              <w:rPr>
                <w:sz w:val="12"/>
                <w:szCs w:val="12"/>
                <w:color w:val="auto"/>
              </w:rPr>
            </w:pPr>
          </w:p>
        </w:tc>
        <w:tc>
          <w:tcPr>
            <w:tcW w:w="1080" w:type="dxa"/>
            <w:vAlign w:val="bottom"/>
          </w:tcPr>
          <w:p>
            <w:pPr>
              <w:jc w:val="right"/>
              <w:ind w:right="54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9"/>
        </w:trPr>
        <w:tc>
          <w:tcPr>
            <w:tcW w:w="3560" w:type="dxa"/>
            <w:vAlign w:val="bottom"/>
            <w:tcBorders>
              <w:top w:val="single" w:sz="8" w:color="auto"/>
            </w:tcBorders>
            <w:shd w:val="clear" w:color="auto" w:fill="CCEEFF"/>
          </w:tcPr>
          <w:p>
            <w:pPr>
              <w:ind w:left="60"/>
              <w:spacing w:after="0" w:line="129" w:lineRule="exact"/>
              <w:rPr>
                <w:sz w:val="20"/>
                <w:szCs w:val="20"/>
                <w:color w:val="auto"/>
              </w:rPr>
            </w:pPr>
            <w:r>
              <w:rPr>
                <w:rFonts w:ascii="Times New Roman" w:cs="Times New Roman" w:eastAsia="Times New Roman" w:hAnsi="Times New Roman"/>
                <w:sz w:val="12"/>
                <w:szCs w:val="12"/>
                <w:color w:val="auto"/>
              </w:rPr>
              <w:t>Notes payable</w:t>
            </w: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144,725</w:t>
            </w: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ind w:left="10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ind w:left="9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144,677</w:t>
            </w:r>
          </w:p>
        </w:tc>
        <w:tc>
          <w:tcPr>
            <w:tcW w:w="1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144,677</w:t>
            </w:r>
          </w:p>
        </w:tc>
        <w:tc>
          <w:tcPr>
            <w:tcW w:w="0" w:type="dxa"/>
            <w:vAlign w:val="bottom"/>
          </w:tcPr>
          <w:p>
            <w:pPr>
              <w:spacing w:after="0"/>
              <w:rPr>
                <w:sz w:val="1"/>
                <w:szCs w:val="1"/>
                <w:color w:val="auto"/>
              </w:rPr>
            </w:pPr>
          </w:p>
        </w:tc>
      </w:tr>
      <w:tr>
        <w:trPr>
          <w:trHeight w:val="130"/>
        </w:trPr>
        <w:tc>
          <w:tcPr>
            <w:tcW w:w="3560" w:type="dxa"/>
            <w:vAlign w:val="bottom"/>
            <w:tcBorders>
              <w:bottom w:val="single" w:sz="8" w:color="CCEEFF"/>
            </w:tcBorders>
          </w:tcPr>
          <w:p>
            <w:pPr>
              <w:ind w:left="60"/>
              <w:spacing w:after="0" w:line="130" w:lineRule="exact"/>
              <w:rPr>
                <w:sz w:val="20"/>
                <w:szCs w:val="20"/>
                <w:color w:val="auto"/>
              </w:rPr>
            </w:pPr>
            <w:r>
              <w:rPr>
                <w:rFonts w:ascii="Times New Roman" w:cs="Times New Roman" w:eastAsia="Times New Roman" w:hAnsi="Times New Roman"/>
                <w:sz w:val="12"/>
                <w:szCs w:val="12"/>
                <w:color w:val="auto"/>
              </w:rPr>
              <w:t>Subordinated debt</w:t>
            </w:r>
          </w:p>
        </w:tc>
        <w:tc>
          <w:tcPr>
            <w:tcW w:w="1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27,913</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ind w:left="102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ind w:left="94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27,880</w:t>
            </w:r>
          </w:p>
        </w:tc>
        <w:tc>
          <w:tcPr>
            <w:tcW w:w="1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27,880</w:t>
            </w:r>
          </w:p>
        </w:tc>
        <w:tc>
          <w:tcPr>
            <w:tcW w:w="0" w:type="dxa"/>
            <w:vAlign w:val="bottom"/>
          </w:tcPr>
          <w:p>
            <w:pPr>
              <w:spacing w:after="0"/>
              <w:rPr>
                <w:sz w:val="1"/>
                <w:szCs w:val="1"/>
                <w:color w:val="auto"/>
              </w:rPr>
            </w:pPr>
          </w:p>
        </w:tc>
      </w:tr>
      <w:tr>
        <w:trPr>
          <w:trHeight w:val="120"/>
        </w:trPr>
        <w:tc>
          <w:tcPr>
            <w:tcW w:w="35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ind w:right="16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172,638</w:t>
            </w:r>
          </w:p>
        </w:tc>
        <w:tc>
          <w:tcPr>
            <w:tcW w:w="1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jc w:val="right"/>
              <w:ind w:right="8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bottom w:val="single" w:sz="8" w:color="auto"/>
            </w:tcBorders>
            <w:shd w:val="clear" w:color="auto" w:fill="CCEEFF"/>
          </w:tcPr>
          <w:p>
            <w:pPr>
              <w:ind w:left="1020"/>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jc w:val="right"/>
              <w:ind w:right="14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shd w:val="clear" w:color="auto" w:fill="CCEEFF"/>
          </w:tcPr>
          <w:p>
            <w:pPr>
              <w:ind w:left="960"/>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ind w:right="18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172,557</w:t>
            </w:r>
          </w:p>
        </w:tc>
        <w:tc>
          <w:tcPr>
            <w:tcW w:w="16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jc w:val="right"/>
              <w:ind w:right="20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172,557</w:t>
            </w:r>
          </w:p>
        </w:tc>
        <w:tc>
          <w:tcPr>
            <w:tcW w:w="0" w:type="dxa"/>
            <w:vAlign w:val="bottom"/>
          </w:tcPr>
          <w:p>
            <w:pPr>
              <w:spacing w:after="0"/>
              <w:rPr>
                <w:sz w:val="1"/>
                <w:szCs w:val="1"/>
                <w:color w:val="auto"/>
              </w:rPr>
            </w:pPr>
          </w:p>
        </w:tc>
      </w:tr>
      <w:tr>
        <w:trPr>
          <w:trHeight w:val="268"/>
        </w:trPr>
        <w:tc>
          <w:tcPr>
            <w:tcW w:w="3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27</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56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7152640</wp:posOffset>
            </wp:positionH>
            <wp:positionV relativeFrom="paragraph">
              <wp:posOffset>-24130</wp:posOffset>
            </wp:positionV>
            <wp:extent cx="3111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-24130</wp:posOffset>
            </wp:positionV>
            <wp:extent cx="3111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00"/>
          </w:cols>
          <w:pgMar w:left="300" w:top="248" w:right="29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28"/>
        </w:trPr>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6"/>
              </w:rPr>
              <w:t>Carrying</w:t>
            </w:r>
          </w:p>
        </w:tc>
        <w:tc>
          <w:tcPr>
            <w:tcW w:w="3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0"/>
                <w:szCs w:val="10"/>
                <w:b w:val="1"/>
                <w:bCs w:val="1"/>
                <w:color w:val="auto"/>
              </w:rPr>
              <w:t>Fair Value Measurement at December 31, 2024</w:t>
            </w: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3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5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440"/>
              <w:spacing w:after="0" w:line="140" w:lineRule="exact"/>
              <w:rPr>
                <w:sz w:val="20"/>
                <w:szCs w:val="20"/>
                <w:color w:val="auto"/>
              </w:rPr>
            </w:pPr>
            <w:r>
              <w:rPr>
                <w:rFonts w:ascii="Times New Roman" w:cs="Times New Roman" w:eastAsia="Times New Roman" w:hAnsi="Times New Roman"/>
                <w:sz w:val="10"/>
                <w:szCs w:val="10"/>
                <w:b w:val="1"/>
                <w:bCs w:val="1"/>
                <w:color w:val="auto"/>
                <w:w w:val="90"/>
              </w:rPr>
              <w:t>Value</w:t>
            </w:r>
            <w:r>
              <w:rPr>
                <w:rFonts w:ascii="Times New Roman" w:cs="Times New Roman" w:eastAsia="Times New Roman" w:hAnsi="Times New Roman"/>
                <w:sz w:val="16"/>
                <w:szCs w:val="16"/>
                <w:b w:val="1"/>
                <w:bCs w:val="1"/>
                <w:color w:val="auto"/>
                <w:w w:val="90"/>
                <w:vertAlign w:val="superscript"/>
              </w:rPr>
              <w:t>(1)</w:t>
            </w:r>
          </w:p>
        </w:tc>
        <w:tc>
          <w:tcPr>
            <w:tcW w:w="300" w:type="dxa"/>
            <w:vAlign w:val="bottom"/>
          </w:tcPr>
          <w:p>
            <w:pPr>
              <w:spacing w:after="0"/>
              <w:rPr>
                <w:sz w:val="12"/>
                <w:szCs w:val="12"/>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320" w:type="dxa"/>
            <w:vAlign w:val="bottom"/>
          </w:tcPr>
          <w:p>
            <w:pPr>
              <w:spacing w:after="0"/>
              <w:rPr>
                <w:sz w:val="12"/>
                <w:szCs w:val="12"/>
                <w:color w:val="auto"/>
              </w:rPr>
            </w:pPr>
          </w:p>
        </w:tc>
        <w:tc>
          <w:tcPr>
            <w:tcW w:w="1080" w:type="dxa"/>
            <w:vAlign w:val="bottom"/>
          </w:tcPr>
          <w:p>
            <w:pPr>
              <w:jc w:val="right"/>
              <w:ind w:right="54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9"/>
        </w:trPr>
        <w:tc>
          <w:tcPr>
            <w:tcW w:w="3560" w:type="dxa"/>
            <w:vAlign w:val="bottom"/>
            <w:tcBorders>
              <w:top w:val="single" w:sz="8" w:color="auto"/>
            </w:tcBorders>
            <w:shd w:val="clear" w:color="auto" w:fill="CCEEFF"/>
          </w:tcPr>
          <w:p>
            <w:pPr>
              <w:ind w:left="60"/>
              <w:spacing w:after="0" w:line="129" w:lineRule="exact"/>
              <w:rPr>
                <w:sz w:val="20"/>
                <w:szCs w:val="20"/>
                <w:color w:val="auto"/>
              </w:rPr>
            </w:pPr>
            <w:r>
              <w:rPr>
                <w:rFonts w:ascii="Times New Roman" w:cs="Times New Roman" w:eastAsia="Times New Roman" w:hAnsi="Times New Roman"/>
                <w:sz w:val="12"/>
                <w:szCs w:val="12"/>
                <w:color w:val="auto"/>
              </w:rPr>
              <w:t>Notes payable</w:t>
            </w: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174,800</w:t>
            </w:r>
          </w:p>
        </w:tc>
        <w:tc>
          <w:tcPr>
            <w:tcW w:w="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ind w:left="9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ind w:left="9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174,994</w:t>
            </w:r>
          </w:p>
        </w:tc>
        <w:tc>
          <w:tcPr>
            <w:tcW w:w="1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174,994</w:t>
            </w:r>
          </w:p>
        </w:tc>
        <w:tc>
          <w:tcPr>
            <w:tcW w:w="0" w:type="dxa"/>
            <w:vAlign w:val="bottom"/>
          </w:tcPr>
          <w:p>
            <w:pPr>
              <w:spacing w:after="0"/>
              <w:rPr>
                <w:sz w:val="1"/>
                <w:szCs w:val="1"/>
                <w:color w:val="auto"/>
              </w:rPr>
            </w:pPr>
          </w:p>
        </w:tc>
      </w:tr>
      <w:tr>
        <w:trPr>
          <w:trHeight w:val="130"/>
        </w:trPr>
        <w:tc>
          <w:tcPr>
            <w:tcW w:w="3560" w:type="dxa"/>
            <w:vAlign w:val="bottom"/>
            <w:tcBorders>
              <w:bottom w:val="single" w:sz="8" w:color="CCEEFF"/>
            </w:tcBorders>
          </w:tcPr>
          <w:p>
            <w:pPr>
              <w:ind w:left="60"/>
              <w:spacing w:after="0" w:line="130" w:lineRule="exact"/>
              <w:rPr>
                <w:sz w:val="20"/>
                <w:szCs w:val="20"/>
                <w:color w:val="auto"/>
              </w:rPr>
            </w:pPr>
            <w:r>
              <w:rPr>
                <w:rFonts w:ascii="Times New Roman" w:cs="Times New Roman" w:eastAsia="Times New Roman" w:hAnsi="Times New Roman"/>
                <w:sz w:val="12"/>
                <w:szCs w:val="12"/>
                <w:color w:val="auto"/>
              </w:rPr>
              <w:t>Subordinated debt</w:t>
            </w:r>
          </w:p>
        </w:tc>
        <w:tc>
          <w:tcPr>
            <w:tcW w:w="1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27,913</w:t>
            </w:r>
          </w:p>
        </w:tc>
        <w:tc>
          <w:tcPr>
            <w:tcW w:w="16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ind w:left="92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ind w:left="94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27,867</w:t>
            </w:r>
          </w:p>
        </w:tc>
        <w:tc>
          <w:tcPr>
            <w:tcW w:w="1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27,867</w:t>
            </w:r>
          </w:p>
        </w:tc>
        <w:tc>
          <w:tcPr>
            <w:tcW w:w="0" w:type="dxa"/>
            <w:vAlign w:val="bottom"/>
          </w:tcPr>
          <w:p>
            <w:pPr>
              <w:spacing w:after="0"/>
              <w:rPr>
                <w:sz w:val="1"/>
                <w:szCs w:val="1"/>
                <w:color w:val="auto"/>
              </w:rPr>
            </w:pPr>
          </w:p>
        </w:tc>
      </w:tr>
      <w:tr>
        <w:trPr>
          <w:trHeight w:val="120"/>
        </w:trPr>
        <w:tc>
          <w:tcPr>
            <w:tcW w:w="35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ind w:right="16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202,713</w:t>
            </w:r>
          </w:p>
        </w:tc>
        <w:tc>
          <w:tcPr>
            <w:tcW w:w="16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ind w:right="18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shd w:val="clear" w:color="auto" w:fill="CCEEFF"/>
          </w:tcPr>
          <w:p>
            <w:pPr>
              <w:ind w:left="920"/>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jc w:val="right"/>
              <w:ind w:right="14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shd w:val="clear" w:color="auto" w:fill="CCEEFF"/>
          </w:tcPr>
          <w:p>
            <w:pPr>
              <w:ind w:left="960"/>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ind w:right="18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202,861</w:t>
            </w:r>
          </w:p>
        </w:tc>
        <w:tc>
          <w:tcPr>
            <w:tcW w:w="16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jc w:val="right"/>
              <w:ind w:right="20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202,861</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440" w:hanging="222"/>
        <w:spacing w:after="0"/>
        <w:tabs>
          <w:tab w:leader="none" w:pos="440"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These balances are presented before any deduction for deferred financing costs.</w:t>
      </w:r>
    </w:p>
    <w:p>
      <w:pPr>
        <w:spacing w:after="0" w:line="12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2"/>
          <w:szCs w:val="12"/>
          <w:color w:val="auto"/>
        </w:rPr>
        <w:t>The following is a description of the valuation methodologies used to estimate the fair value of our financial assets and liabilities. There have been no changes in the methodologies used as of September 30, 2025, and December 31, 2024.</w:t>
      </w:r>
    </w:p>
    <w:p>
      <w:pPr>
        <w:spacing w:after="0" w:line="9" w:lineRule="exact"/>
        <w:rPr>
          <w:sz w:val="20"/>
          <w:szCs w:val="20"/>
          <w:color w:val="auto"/>
        </w:rPr>
      </w:pPr>
    </w:p>
    <w:p>
      <w:pPr>
        <w:ind w:left="440"/>
        <w:spacing w:after="0" w:line="269" w:lineRule="auto"/>
        <w:rPr>
          <w:sz w:val="20"/>
          <w:szCs w:val="20"/>
          <w:color w:val="auto"/>
        </w:rPr>
      </w:pPr>
      <w:r>
        <w:rPr>
          <w:rFonts w:ascii="Times New Roman" w:cs="Times New Roman" w:eastAsia="Times New Roman" w:hAnsi="Times New Roman"/>
          <w:sz w:val="12"/>
          <w:szCs w:val="12"/>
          <w:b w:val="1"/>
          <w:bCs w:val="1"/>
          <w:color w:val="auto"/>
        </w:rPr>
        <w:t xml:space="preserve">Level 1 </w:t>
      </w:r>
      <w:r>
        <w:rPr>
          <w:rFonts w:ascii="Times New Roman" w:cs="Times New Roman" w:eastAsia="Times New Roman" w:hAnsi="Times New Roman"/>
          <w:sz w:val="12"/>
          <w:szCs w:val="12"/>
          <w:color w:val="auto"/>
        </w:rPr>
        <w:t>investments in marketable securities primarily consist of investments associated with the ownership of marketable securities in U.S. and New Zealand. These investments are valued based on observable market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quotes on the last trading date of the reporting period.</w:t>
      </w:r>
    </w:p>
    <w:p>
      <w:pPr>
        <w:spacing w:after="0" w:line="16" w:lineRule="exact"/>
        <w:rPr>
          <w:sz w:val="20"/>
          <w:szCs w:val="20"/>
          <w:color w:val="auto"/>
        </w:rPr>
      </w:pPr>
    </w:p>
    <w:p>
      <w:pPr>
        <w:ind w:left="440" w:right="20"/>
        <w:spacing w:after="0" w:line="256" w:lineRule="auto"/>
        <w:rPr>
          <w:sz w:val="20"/>
          <w:szCs w:val="20"/>
          <w:color w:val="auto"/>
        </w:rPr>
      </w:pPr>
      <w:r>
        <w:rPr>
          <w:rFonts w:ascii="Times New Roman" w:cs="Times New Roman" w:eastAsia="Times New Roman" w:hAnsi="Times New Roman"/>
          <w:sz w:val="12"/>
          <w:szCs w:val="12"/>
          <w:b w:val="1"/>
          <w:bCs w:val="1"/>
          <w:color w:val="auto"/>
        </w:rPr>
        <w:t xml:space="preserve">Level 2 </w:t>
      </w:r>
      <w:r>
        <w:rPr>
          <w:rFonts w:ascii="Times New Roman" w:cs="Times New Roman" w:eastAsia="Times New Roman" w:hAnsi="Times New Roman"/>
          <w:sz w:val="12"/>
          <w:szCs w:val="12"/>
          <w:color w:val="auto"/>
        </w:rPr>
        <w:t>derivative financial instruments are valued based on discounted cash flow models that incorporate observable inputs such as interest rates and yield curves from the derivative counterparties. The credit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valuation adjustments associated with our non-performance risk and counterparty credit risk are incorporated in the fair value estimates of our derivatives. As of September 30, 2025, and December 31, 2024, we concluded that the credit valuation adjustments were not significant to the overall valuation of our derivatives.</w:t>
      </w:r>
    </w:p>
    <w:p>
      <w:pPr>
        <w:spacing w:after="0" w:line="24" w:lineRule="exact"/>
        <w:rPr>
          <w:sz w:val="20"/>
          <w:szCs w:val="20"/>
          <w:color w:val="auto"/>
        </w:rPr>
      </w:pPr>
    </w:p>
    <w:p>
      <w:pPr>
        <w:ind w:left="440"/>
        <w:spacing w:after="0" w:line="246" w:lineRule="auto"/>
        <w:rPr>
          <w:sz w:val="20"/>
          <w:szCs w:val="20"/>
          <w:color w:val="auto"/>
        </w:rPr>
      </w:pPr>
      <w:r>
        <w:rPr>
          <w:rFonts w:ascii="Times New Roman" w:cs="Times New Roman" w:eastAsia="Times New Roman" w:hAnsi="Times New Roman"/>
          <w:sz w:val="12"/>
          <w:szCs w:val="12"/>
          <w:b w:val="1"/>
          <w:bCs w:val="1"/>
          <w:color w:val="auto"/>
        </w:rPr>
        <w:t xml:space="preserve">Level 3 </w:t>
      </w:r>
      <w:r>
        <w:rPr>
          <w:rFonts w:ascii="Times New Roman" w:cs="Times New Roman" w:eastAsia="Times New Roman" w:hAnsi="Times New Roman"/>
          <w:sz w:val="12"/>
          <w:szCs w:val="12"/>
          <w:color w:val="auto"/>
        </w:rPr>
        <w:t>borrowings include our secured and unsecured notes payable, trust preferred securities and other debt instruments. The borrowings are valued based on discounted cash flow models that incorporate appropriate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market discount rates. We calculated the market discount rate by obtaining period-end treasury rates for fixed-rate debt, or SOFR for variable-rate debt, for maturities that correspond to the maturities of our debt, adding appropriate credit spreads derived from information obtained from third-party financial institutions. These credit spreads take into account factors such as our credit rate, debt maturity, types of borrowings, and the loan-to-value ratios of the debt.</w:t>
      </w:r>
    </w:p>
    <w:p>
      <w:pPr>
        <w:spacing w:after="0" w:line="107"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2"/>
          <w:szCs w:val="12"/>
          <w:color w:val="auto"/>
        </w:rPr>
        <w:t>Our Company’s financial instruments also include cash, cash equivalents, receivables and accounts payable.</w:t>
        <w:tab/>
        <w:t>The carrying values of these financial instruments approximate the fair values due to their short maturities.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Additionally, there were no transfers of assets and liabilities between levels 1, 2, or 3 during the quarter and nine months ended September 30, 2025, and September 30,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21 – Subsequent Events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Borrowings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November 12, 2025, we extended the maturity date of our NAB facility to July 31, 2030.</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November 13, 2025, we extended the maturity date of our Valley National facility to October 1, 2026.</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Asset monetizations</w:t>
      </w:r>
    </w:p>
    <w:p>
      <w:pPr>
        <w:spacing w:after="0" w:line="13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2"/>
          <w:szCs w:val="12"/>
          <w:color w:val="auto"/>
        </w:rPr>
        <w:t>On October 21, 2025, we entered into an agreement for the sale and purchase for our cinema and retail property located in Napier, New Zealand. The purchase price is NZ$2.5 million. The agreement is subject to a due diligence period which expires on November 20, 2025. No assurances can be given that the transaction will be consummated.</w:t>
      </w:r>
    </w:p>
    <w:p>
      <w:pPr>
        <w:spacing w:after="0" w:line="10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0"/>
          <w:szCs w:val="10"/>
          <w:i w:val="1"/>
          <w:iCs w:val="1"/>
          <w:color w:val="auto"/>
        </w:rPr>
        <w:t>This MD&amp;A should be read in conjunction with the accompanying unaudited consolidated financial statements included in Part I, Item 1 (Financial Statements). The foregoing discussions and analyses contain certain forward-looking statements. Please refer to the “Cautionary Statement Regarding Forward-Looking Statements” included at the conclusion of this section and our “Risk Factors” set forth in our 2024 Form 10-K, Part 1 – Financial Information, Item 1A and the Risk Factors set out below.</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2 – Management’s Discussion and Analysis (“MD&amp;A”) of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MD&amp;A should be read in conjunction with our consolidated financial statements and related notes in this Report.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374"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Overview &amp; Updates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Cinema Exhibit Segment</w:t>
      </w:r>
    </w:p>
    <w:p>
      <w:pPr>
        <w:spacing w:after="0" w:line="1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2"/>
          <w:szCs w:val="12"/>
          <w:color w:val="auto"/>
        </w:rPr>
        <w:t xml:space="preserve">As we anticipated, our third quarter of 2025 cinema results decreased compared to third quarter 2024 due to a weaker film slate. The third quarter 2024 movie slate, which included record setting movies such as </w:t>
      </w:r>
      <w:r>
        <w:rPr>
          <w:rFonts w:ascii="Times New Roman" w:cs="Times New Roman" w:eastAsia="Times New Roman" w:hAnsi="Times New Roman"/>
          <w:sz w:val="12"/>
          <w:szCs w:val="12"/>
          <w:i w:val="1"/>
          <w:iCs w:val="1"/>
          <w:color w:val="auto"/>
        </w:rPr>
        <w:t>Deadpool &amp;</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Wolverine</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Beetlejuice Beetlejuice, Despicable Me 4, Twisters, and It Ends with Us, </w:t>
      </w:r>
      <w:r>
        <w:rPr>
          <w:rFonts w:ascii="Times New Roman" w:cs="Times New Roman" w:eastAsia="Times New Roman" w:hAnsi="Times New Roman"/>
          <w:sz w:val="12"/>
          <w:szCs w:val="12"/>
          <w:color w:val="auto"/>
        </w:rPr>
        <w:t>outperformed the third quarter 2025 movie slate. In the U.S., our box office was further negatively impacted by the second quarter 2025</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closure of an underperforming theater in San Diego, California. Broader industry challenges, including persistent inflation, rising labor and other operating costs, and lingering impacts from the 2023 Hollywood strikes, continued to influence results and contributed to an overall softer quarter.</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 xml:space="preserve">Despite these obstacles, when movies deliver box office results that both exceed industry expectations and set records, such as </w:t>
      </w:r>
      <w:r>
        <w:rPr>
          <w:rFonts w:ascii="Times New Roman" w:cs="Times New Roman" w:eastAsia="Times New Roman" w:hAnsi="Times New Roman"/>
          <w:sz w:val="12"/>
          <w:szCs w:val="12"/>
          <w:i w:val="1"/>
          <w:iCs w:val="1"/>
          <w:color w:val="auto"/>
        </w:rPr>
        <w:t>Demon Slayer: Kimetsu No Yaiba Infinity Casti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Superman</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Weapons,</w:t>
      </w:r>
      <w:r>
        <w:rPr>
          <w:rFonts w:ascii="Times New Roman" w:cs="Times New Roman" w:eastAsia="Times New Roman" w:hAnsi="Times New Roman"/>
          <w:sz w:val="12"/>
          <w:szCs w:val="12"/>
          <w:color w:val="auto"/>
        </w:rPr>
        <w:t xml:space="preserve"> our confidence in the future of the theatrical business is reinforced. This occurred again when </w:t>
      </w:r>
      <w:r>
        <w:rPr>
          <w:rFonts w:ascii="Times New Roman" w:cs="Times New Roman" w:eastAsia="Times New Roman" w:hAnsi="Times New Roman"/>
          <w:sz w:val="12"/>
          <w:szCs w:val="12"/>
          <w:i w:val="1"/>
          <w:iCs w:val="1"/>
          <w:color w:val="auto"/>
        </w:rPr>
        <w:t>KPop Demon Hunters,</w:t>
      </w:r>
      <w:r>
        <w:rPr>
          <w:rFonts w:ascii="Times New Roman" w:cs="Times New Roman" w:eastAsia="Times New Roman" w:hAnsi="Times New Roman"/>
          <w:sz w:val="12"/>
          <w:szCs w:val="12"/>
          <w:color w:val="auto"/>
        </w:rPr>
        <w:t xml:space="preserve"> originally released by Netflix, delivered an $18 million domestic box office in an unexpected limited, two-day only theatrical release.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mentioned above, and further discussed in the below, certain current macroeconomic conditions continued to present challenges for our cinema operations during the relevant periods:</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Cinema attendance levels have not returned to pre-pandemic levels;</w:t>
      </w:r>
    </w:p>
    <w:p>
      <w:pPr>
        <w:spacing w:after="0" w:line="6" w:lineRule="exact"/>
        <w:rPr>
          <w:sz w:val="20"/>
          <w:szCs w:val="20"/>
          <w:color w:val="auto"/>
        </w:rPr>
      </w:pPr>
    </w:p>
    <w:p>
      <w:pPr>
        <w:ind w:left="660" w:right="20"/>
        <w:spacing w:after="0" w:line="234" w:lineRule="auto"/>
        <w:rPr>
          <w:sz w:val="20"/>
          <w:szCs w:val="20"/>
          <w:color w:val="auto"/>
        </w:rPr>
      </w:pPr>
      <w:r>
        <w:rPr>
          <w:rFonts w:ascii="Times New Roman" w:cs="Times New Roman" w:eastAsia="Times New Roman" w:hAnsi="Times New Roman"/>
          <w:sz w:val="12"/>
          <w:szCs w:val="12"/>
          <w:color w:val="auto"/>
        </w:rPr>
        <w:t>The number of movies released by the major Hollywood studios and other distributors, while increasing from pandemic levels, have not yet returned to their higher pre-pandemic levels, as releases continue to be impacted by both the shutdown due to Covid and the 2023 Hollywood Strikes;</w:t>
      </w:r>
    </w:p>
    <w:p>
      <w:pPr>
        <w:spacing w:after="0" w:line="1" w:lineRule="exact"/>
        <w:rPr>
          <w:sz w:val="20"/>
          <w:szCs w:val="20"/>
          <w:color w:val="auto"/>
        </w:rPr>
      </w:pPr>
    </w:p>
    <w:p>
      <w:pPr>
        <w:ind w:left="660" w:right="100"/>
        <w:spacing w:after="0" w:line="232" w:lineRule="auto"/>
        <w:rPr>
          <w:sz w:val="20"/>
          <w:szCs w:val="20"/>
          <w:color w:val="auto"/>
        </w:rPr>
      </w:pPr>
      <w:r>
        <w:rPr>
          <w:rFonts w:ascii="Times New Roman" w:cs="Times New Roman" w:eastAsia="Times New Roman" w:hAnsi="Times New Roman"/>
          <w:sz w:val="12"/>
          <w:szCs w:val="12"/>
          <w:color w:val="auto"/>
        </w:rPr>
        <w:t xml:space="preserve">The traditional exclusive theatrical release window continues to face pressure from cable and streaming platforms, as illustrated this quarter by Netflix’s limited release of </w:t>
      </w:r>
      <w:r>
        <w:rPr>
          <w:rFonts w:ascii="Times New Roman" w:cs="Times New Roman" w:eastAsia="Times New Roman" w:hAnsi="Times New Roman"/>
          <w:sz w:val="12"/>
          <w:szCs w:val="12"/>
          <w:i w:val="1"/>
          <w:iCs w:val="1"/>
          <w:color w:val="auto"/>
        </w:rPr>
        <w:t>KPop Demon Hunters</w:t>
      </w:r>
      <w:r>
        <w:rPr>
          <w:rFonts w:ascii="Times New Roman" w:cs="Times New Roman" w:eastAsia="Times New Roman" w:hAnsi="Times New Roman"/>
          <w:sz w:val="12"/>
          <w:szCs w:val="12"/>
          <w:color w:val="auto"/>
        </w:rPr>
        <w:t xml:space="preserve"> for only two days; Inflationary pressures, ongoing supply chain issues and increased operating expenses arising post-pandemic continue to push up our variable costs while we encounter consumer resistance to higher ticket prices; Labor costs continue to rise due to mandated minimum wage increases;</w:t>
      </w:r>
    </w:p>
    <w:p>
      <w:pPr>
        <w:ind w:left="660" w:right="20"/>
        <w:spacing w:after="0" w:line="232" w:lineRule="auto"/>
        <w:rPr>
          <w:sz w:val="20"/>
          <w:szCs w:val="20"/>
          <w:color w:val="auto"/>
        </w:rPr>
      </w:pPr>
      <w:r>
        <w:rPr>
          <w:rFonts w:ascii="Times New Roman" w:cs="Times New Roman" w:eastAsia="Times New Roman" w:hAnsi="Times New Roman"/>
          <w:sz w:val="12"/>
          <w:szCs w:val="12"/>
          <w:color w:val="auto"/>
        </w:rPr>
        <w:t>Increased fixed costs for third party cinema rents, some of which are increasing due to base rent escalations, some of which are fixed and some of which are adjusted by reference to changes in the cost of living index, which are exacerbated by our obligation to also pay certain COVID-19 related rent deferrals. We have been able to mitigate this somewhat by negotiating for rent abatements and revised rental terms and through the closure of certain underperforming venues;</w:t>
      </w:r>
    </w:p>
    <w:p>
      <w:pPr>
        <w:ind w:left="660" w:right="2480"/>
        <w:spacing w:after="0" w:line="241" w:lineRule="auto"/>
        <w:rPr>
          <w:sz w:val="20"/>
          <w:szCs w:val="20"/>
          <w:color w:val="auto"/>
        </w:rPr>
      </w:pPr>
      <w:r>
        <w:rPr>
          <w:rFonts w:ascii="Times New Roman" w:cs="Times New Roman" w:eastAsia="Times New Roman" w:hAnsi="Times New Roman"/>
          <w:sz w:val="12"/>
          <w:szCs w:val="12"/>
          <w:color w:val="auto"/>
        </w:rPr>
        <w:t>Declines in exchange rates for the Australian and New Zealand currencies when compared to the U.S. Dollar for the third quarter and first nine months of 2025; and General market and economic conditions.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believe that our ongoing focus on operational efficiency and strategic initiatives has improved our operations results. Over the past quarter, we have worked to optimize the efficiency of our locations, by</w:t>
      </w:r>
    </w:p>
    <w:p>
      <w:pPr>
        <w:spacing w:after="0" w:line="1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Renegotiating our cinema leases and aligning our occupancy costs more effectively with attendance levels that, in general, remain behind pre-pandemic levels.</w:t>
      </w:r>
    </w:p>
    <w:p>
      <w:pPr>
        <w:spacing w:after="0" w:line="6" w:lineRule="exact"/>
        <w:rPr>
          <w:sz w:val="20"/>
          <w:szCs w:val="20"/>
          <w:color w:val="auto"/>
        </w:rPr>
      </w:pPr>
    </w:p>
    <w:p>
      <w:pPr>
        <w:ind w:left="660"/>
        <w:spacing w:after="0" w:line="237" w:lineRule="auto"/>
        <w:rPr>
          <w:sz w:val="20"/>
          <w:szCs w:val="20"/>
          <w:color w:val="auto"/>
        </w:rPr>
      </w:pPr>
      <w:r>
        <w:rPr>
          <w:rFonts w:ascii="Times New Roman" w:cs="Times New Roman" w:eastAsia="Times New Roman" w:hAnsi="Times New Roman"/>
          <w:sz w:val="12"/>
          <w:szCs w:val="12"/>
          <w:color w:val="auto"/>
        </w:rPr>
        <w:t>Prioritizing the elevation of the guest experience through our expanded Food and Beverage program. Beer and wine, and liquor service is available at nearly every one of our U.S. cinema locations. These enhancements are mirrored in our Australian and New Zealand markets, ensuring a consistent and premium experience for audiences across all regions. This strong focus on Food and Beverage resulted in revenue increases in all countries for the quarter and nine months compared to their respective prior year periods.</w:t>
      </w:r>
    </w:p>
    <w:p>
      <w:pPr>
        <w:spacing w:after="0" w:line="1" w:lineRule="exact"/>
        <w:rPr>
          <w:sz w:val="20"/>
          <w:szCs w:val="20"/>
          <w:color w:val="auto"/>
        </w:rPr>
      </w:pPr>
    </w:p>
    <w:p>
      <w:pPr>
        <w:ind w:left="660"/>
        <w:spacing w:after="0" w:line="241" w:lineRule="auto"/>
        <w:rPr>
          <w:sz w:val="20"/>
          <w:szCs w:val="20"/>
          <w:color w:val="auto"/>
        </w:rPr>
      </w:pPr>
      <w:r>
        <w:rPr>
          <w:rFonts w:ascii="Times New Roman" w:cs="Times New Roman" w:eastAsia="Times New Roman" w:hAnsi="Times New Roman"/>
          <w:sz w:val="12"/>
          <w:szCs w:val="12"/>
          <w:color w:val="auto"/>
        </w:rPr>
        <w:t>Exploiting our free to join and paid cinema membership programs in Australia and New Zealand and our free to join reward programs in the U.S. And, through the quarter we continued to develop our new free to join and paid membership programs in the U.S., which are expected to be launched in the fourth quarter 2025.</w:t>
      </w:r>
    </w:p>
    <w:p>
      <w:pPr>
        <w:spacing w:after="0" w:line="10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2"/>
          <w:szCs w:val="12"/>
          <w:color w:val="auto"/>
        </w:rPr>
        <w:t>These initiatives not only provide increased revenues and reduced expenses but also highlight our dedication to delivering exceptional and memorable cinema experiences that we believe consistently draw audiences back to our theaters. Importantly, the lingering impacts of COVID-19 have become far less of a factor, allowing audiences to return to theaters more confidently and enabling our operations to function closer to pre-pandemic levels.</w:t>
      </w:r>
    </w:p>
    <w:p>
      <w:pPr>
        <w:spacing w:after="0" w:line="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 xml:space="preserve">On a year-to-date basis, earlier releases in 2025 such as </w:t>
      </w:r>
      <w:r>
        <w:rPr>
          <w:rFonts w:ascii="Times New Roman" w:cs="Times New Roman" w:eastAsia="Times New Roman" w:hAnsi="Times New Roman"/>
          <w:sz w:val="12"/>
          <w:szCs w:val="12"/>
          <w:i w:val="1"/>
          <w:iCs w:val="1"/>
          <w:color w:val="auto"/>
        </w:rPr>
        <w:t>A Minecraft Movie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Sinners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Lilo &amp; Stitch</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 to Train Your Dragon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Thunderbolts*</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Mission: Impossible - The Final Reckoning</w:t>
      </w:r>
      <w:r>
        <w:rPr>
          <w:rFonts w:ascii="Times New Roman" w:cs="Times New Roman" w:eastAsia="Times New Roman" w:hAnsi="Times New Roman"/>
          <w:sz w:val="12"/>
          <w:szCs w:val="12"/>
          <w:color w:val="auto"/>
        </w:rPr>
        <w:t xml:space="preserve"> all contributed significantly to our performance this year during the first two quarters. These films drove strong audience engagement, resulting in robust box office results for our worldwide cinemas. While attendance for the first nine months of 2025 was down compared to the first nine months of 2024, in our Australian and New Zealand</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242"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color w:val="auto"/>
        </w:rPr>
        <w:t>circuits our box office revenues have seen improvement, on a functional currency basis, as the result of our increased average ticket prices in each of those countries.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Looking ahead, we believe that the fourth quarter film slate presents a major opportunity to regain positive momentum and deliver stronger results. Major releases including </w:t>
      </w:r>
      <w:r>
        <w:rPr>
          <w:rFonts w:ascii="Times New Roman" w:cs="Times New Roman" w:eastAsia="Times New Roman" w:hAnsi="Times New Roman"/>
          <w:sz w:val="12"/>
          <w:szCs w:val="12"/>
          <w:i w:val="1"/>
          <w:iCs w:val="1"/>
          <w:color w:val="auto"/>
        </w:rPr>
        <w:t>The Running Man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Wicked: For Good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Zootopia 2</w:t>
      </w:r>
      <w:r>
        <w:rPr>
          <w:rFonts w:ascii="Times New Roman" w:cs="Times New Roman" w:eastAsia="Times New Roman" w:hAnsi="Times New Roman"/>
          <w:sz w:val="12"/>
          <w:szCs w:val="12"/>
          <w:color w:val="auto"/>
        </w:rPr>
        <w:t>,</w:t>
      </w:r>
    </w:p>
    <w:p>
      <w:pPr>
        <w:spacing w:after="0" w:line="2"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2"/>
          <w:szCs w:val="12"/>
          <w:i w:val="1"/>
          <w:iCs w:val="1"/>
          <w:color w:val="auto"/>
        </w:rPr>
        <w:t>Five Nights at Freddy’s 2</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The SpongeBob Movie: Search for SquarePants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The Housemaid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Marty Supreme</w:t>
      </w:r>
      <w:r>
        <w:rPr>
          <w:rFonts w:ascii="Times New Roman" w:cs="Times New Roman" w:eastAsia="Times New Roman" w:hAnsi="Times New Roman"/>
          <w:sz w:val="12"/>
          <w:szCs w:val="12"/>
          <w:color w:val="auto"/>
        </w:rPr>
        <w:t>, and</w:t>
      </w:r>
      <w:r>
        <w:rPr>
          <w:rFonts w:ascii="Times New Roman" w:cs="Times New Roman" w:eastAsia="Times New Roman" w:hAnsi="Times New Roman"/>
          <w:sz w:val="12"/>
          <w:szCs w:val="12"/>
          <w:i w:val="1"/>
          <w:iCs w:val="1"/>
          <w:color w:val="auto"/>
        </w:rPr>
        <w:t xml:space="preserve"> Avatar: Fire and Ash </w:t>
      </w:r>
      <w:r>
        <w:rPr>
          <w:rFonts w:ascii="Times New Roman" w:cs="Times New Roman" w:eastAsia="Times New Roman" w:hAnsi="Times New Roman"/>
          <w:sz w:val="12"/>
          <w:szCs w:val="12"/>
          <w:color w:val="auto"/>
        </w:rPr>
        <w:t>are positioned to appeal to a wide variety of audiences, which should allow for a strong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carry over into the beginning of 2026. These titles cover a wide range of genres, from musicals and family animation to horror and epic science fiction, each with the potential to drive significant box office results. When combined with our strategic operational initiatives and ongoing audience engagement efforts, this diverse slate gives us confidence that the fourth quarter will deliver a powerful, more impactful finish to the year.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Real Estate Segment</w:t>
      </w:r>
    </w:p>
    <w:p>
      <w:pPr>
        <w:spacing w:after="0" w:line="13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2"/>
          <w:szCs w:val="12"/>
          <w:color w:val="auto"/>
        </w:rPr>
        <w:t>With respect to our real estate segment, our Australian real estate revenues continue to have steady, strong performance, especially when measured in local currency. However, the Australian real estate operations for the three-month period ended September 30, 2025 have been adversely impacted by the generally downward trend in exchange rates and the third quarter 2025 monetization of our Cannon Park entertainment center in Townsville, Australia.</w:t>
      </w:r>
    </w:p>
    <w:p>
      <w:pPr>
        <w:spacing w:after="0" w:line="242"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2"/>
          <w:szCs w:val="12"/>
          <w:color w:val="auto"/>
        </w:rPr>
        <w:t>In the United States, we sold our underutilized administrative office building in Culver City, California, for $10.0 million during the first quarter of 2024. At our 44 Union Square property in New York, Petco continues to occupy the cellar, ground, and second floors under a long term lease on a full rent-paying basis, while we work to secure tenant(s) for the remaining space. We believe that demand for space in the Union Square submarket is improving.</w:t>
      </w:r>
    </w:p>
    <w:p>
      <w:pPr>
        <w:spacing w:after="0" w:line="2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Regarding our Australia and New Zealand properties, we completed two major monetizations during the first half of 2025. On January 31, 2025, we sold all our Wellington, New Zealand properties for $21.5 million (NZ$38.0 million) and signed a lease agreement to continue operating the Courtenay Central cinema following seismic upgrades. On May 21, 2025, we sold our Cannon Park properties in Townsville, Queensland, for $20.7 million (AU$32.0 million), while retaining the cinema leasehold at the property. The proceeds of these sales were used, among other things, to pay down approximately $32.1 million in debt.</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To align with our liquidity priorities, we have largely deferred new real estate development. Capital spending in 2024 and to date in 2025 has been primarily focused on upgrades to our existing cinemas. Additionally, we continue to hold our Newberry Yard property in Williamsport, Pennsylvania for sale and we continue to explore other opportunities to strengthen liquidity, for example, we recently entered into an agreement to sell our property in Napier, New Zealand.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3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2"/>
          <w:szCs w:val="12"/>
          <w:color w:val="auto"/>
        </w:rPr>
        <w:t>We are an internationally diversified company principally focused on the development, ownership, and operation of entertainment and real estate assets in the United States, Australia, and New Zealand. Currently, we operate in two business segments:</w:t>
      </w:r>
    </w:p>
    <w:p>
      <w:pPr>
        <w:spacing w:after="0" w:line="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Cinema exhibition, through our 58 cinemas.</w:t>
      </w:r>
    </w:p>
    <w:p>
      <w:pPr>
        <w:spacing w:after="0" w:line="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Real estate, including real estate development and the rental of retail, commercial, and Live Theatre assets.</w:t>
      </w:r>
    </w:p>
    <w:p>
      <w:pPr>
        <w:spacing w:after="0" w:line="11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Over the past five years we have monetized nine property assets, but we believe that our cinema and real estate segments continue to complement and support one another and will be a part of the long run growth plan for our company. Before COVID-19, cash flows from our cinema operations helped fund the front-end cash demands of our real estate development business. During the pandemic, we shifted to rely more heavily on income from our real estate assets and tapped into the embedded value in those assets to support the Company through the crisis. With the lingering effects of COVID-19 and the 2023 Hollywood strikes now largely behind us, we expect the quality of film releases to continue to improve, encouraging audiences to return to our cinemas and restoring our ability to use cinema-generated cash flows to strengthen and expand our real estate portfolio. To meet anticipated liquidity needs, we continue to hold one property, Newberry Yard, for sale. Even after this planned disposition, we expect to retain properties in Pennsylvania, Manhattan, and Australia that, when capital resources allow, we believe offer meaningful potential to build long-term stockholder value.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Key Performance Indicators </w:t>
      </w:r>
      <w:r>
        <w:rPr>
          <w:rFonts w:ascii="Times New Roman" w:cs="Times New Roman" w:eastAsia="Times New Roman" w:hAnsi="Times New Roman"/>
          <w:sz w:val="12"/>
          <w:szCs w:val="12"/>
          <w:i w:val="1"/>
          <w:iCs w:val="1"/>
          <w:color w:val="auto"/>
        </w:rPr>
        <w:t>(Unaudited; U.S. dollars in thousands, except per patron data)</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Food and Beverage Spend Per Patron</w:t>
      </w:r>
    </w:p>
    <w:p>
      <w:pPr>
        <w:spacing w:after="0" w:line="1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2"/>
          <w:szCs w:val="12"/>
          <w:color w:val="auto"/>
        </w:rPr>
        <w:t>A key performance indicator utilized by management in our cinema segment is Food and Beverage (“F&amp;B”) Spend Per Patron (“SPP”), which is calculated based on our total Food &amp; Beverage Revenues on a post-tax basis divided by our attendance during a specific period.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0" w:name="page31"/>
    <w:bookmarkEnd w:id="30"/>
    <w:p>
      <w:pPr>
        <w:jc w:val="both"/>
        <w:ind w:right="20"/>
        <w:spacing w:after="0" w:line="246" w:lineRule="auto"/>
        <w:rPr>
          <w:sz w:val="20"/>
          <w:szCs w:val="20"/>
          <w:color w:val="auto"/>
        </w:rPr>
      </w:pPr>
      <w:r>
        <w:rPr>
          <w:rFonts w:ascii="Times New Roman" w:cs="Times New Roman" w:eastAsia="Times New Roman" w:hAnsi="Times New Roman"/>
          <w:sz w:val="12"/>
          <w:szCs w:val="12"/>
          <w:color w:val="auto"/>
        </w:rPr>
        <w:t>One of our key strategic priorities has been the continued enhancement of food and beverage offerings across several of our global cinema locations. Thirty-seven of our theater locations offer elevated food and beverage menus (i.e. menus that are beyond traditional popcorn, soda, and candy). We use F&amp;B SPP as a measure of our food and beverage operational performance as compared to that of our competitors. Although the profitability of our food</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2"/>
          <w:szCs w:val="12"/>
          <w:color w:val="auto"/>
        </w:rPr>
        <w:t>and beverage operations is influenced by numerous factors, including labor and cost of goods, F&amp;B SPP serves as an indicator of our ability to achieve consistent strong top-line performance. In addition, F&amp;B SPP highlights our ability to optimize revenue by effectively promoting and selling supplementary products to our customers during each visit. Moreover, this metric assists in evaluating how well we can differentiate our F&amp;B offerings from our competitors. Management uses F&amp;B SPP to adjust food and beverage pricing strategies at our individual theaters, measure the effectiveness of promotional marketing initiatives, optimize menu offerings, and ensure price barriers are not created for our customers. F&amp;B revenue is particularly important to cinema operators, as film distributors do not share in this revenue stream.</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Quarter Months Ended</w:t>
            </w:r>
          </w:p>
        </w:tc>
        <w:tc>
          <w:tcPr>
            <w:tcW w:w="1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0" w:type="dxa"/>
            <w:vAlign w:val="bottom"/>
          </w:tcPr>
          <w:p>
            <w:pPr>
              <w:spacing w:after="0"/>
              <w:rPr>
                <w:sz w:val="1"/>
                <w:szCs w:val="1"/>
                <w:color w:val="auto"/>
              </w:rPr>
            </w:pPr>
          </w:p>
        </w:tc>
      </w:tr>
      <w:tr>
        <w:trPr>
          <w:trHeight w:val="110"/>
        </w:trPr>
        <w:tc>
          <w:tcPr>
            <w:tcW w:w="33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color w:val="auto"/>
                <w:w w:val="99"/>
              </w:rPr>
              <w:t>Food &amp; Beverage Spend Per Patron</w:t>
            </w:r>
          </w:p>
        </w:tc>
        <w:tc>
          <w:tcPr>
            <w:tcW w:w="1420" w:type="dxa"/>
            <w:vAlign w:val="bottom"/>
            <w:tcBorders>
              <w:bottom w:val="single" w:sz="8" w:color="auto"/>
            </w:tcBorders>
            <w:gridSpan w:val="3"/>
          </w:tcPr>
          <w:p>
            <w:pPr>
              <w:ind w:left="480"/>
              <w:spacing w:after="0" w:line="111"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4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 Change</w:t>
            </w:r>
          </w:p>
        </w:tc>
        <w:tc>
          <w:tcPr>
            <w:tcW w:w="5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3"/>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75"/>
        </w:trPr>
        <w:tc>
          <w:tcPr>
            <w:tcW w:w="3300" w:type="dxa"/>
            <w:vAlign w:val="bottom"/>
            <w:gridSpan w:val="2"/>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180" w:type="dxa"/>
            <w:vAlign w:val="bottom"/>
          </w:tcPr>
          <w:p>
            <w:pPr>
              <w:spacing w:after="0"/>
              <w:rPr>
                <w:sz w:val="6"/>
                <w:szCs w:val="6"/>
                <w:color w:val="auto"/>
              </w:rPr>
            </w:pPr>
          </w:p>
        </w:tc>
        <w:tc>
          <w:tcPr>
            <w:tcW w:w="540" w:type="dxa"/>
            <w:vAlign w:val="bottom"/>
            <w:vMerge w:val="restart"/>
          </w:tcPr>
          <w:p>
            <w:pPr>
              <w:jc w:val="center"/>
              <w:ind w:left="81"/>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20" w:type="dxa"/>
            <w:vAlign w:val="bottom"/>
            <w:gridSpan w:val="2"/>
            <w:vMerge w:val="continue"/>
          </w:tcPr>
          <w:p>
            <w:pPr>
              <w:spacing w:after="0"/>
              <w:rPr>
                <w:sz w:val="6"/>
                <w:szCs w:val="6"/>
                <w:color w:val="auto"/>
              </w:rPr>
            </w:pPr>
          </w:p>
        </w:tc>
        <w:tc>
          <w:tcPr>
            <w:tcW w:w="500" w:type="dxa"/>
            <w:vAlign w:val="bottom"/>
            <w:vMerge w:val="restart"/>
          </w:tcPr>
          <w:p>
            <w:pPr>
              <w:jc w:val="center"/>
              <w:ind w:left="121"/>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920" w:type="dxa"/>
            <w:vAlign w:val="bottom"/>
            <w:gridSpan w:val="3"/>
            <w:vMerge w:val="restart"/>
          </w:tcPr>
          <w:p>
            <w:pPr>
              <w:jc w:val="center"/>
              <w:ind w:left="383"/>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33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color w:val="auto"/>
                <w:w w:val="98"/>
              </w:rPr>
              <w:t>(in‎ functional currency)</w:t>
            </w: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Fav/(Unfav)</w:t>
            </w:r>
          </w:p>
        </w:tc>
        <w:tc>
          <w:tcPr>
            <w:tcW w:w="500" w:type="dxa"/>
            <w:vAlign w:val="bottom"/>
            <w:vMerge w:val="continue"/>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Fav/(Unfav)</w:t>
            </w:r>
          </w:p>
        </w:tc>
        <w:tc>
          <w:tcPr>
            <w:tcW w:w="0" w:type="dxa"/>
            <w:vAlign w:val="bottom"/>
          </w:tcPr>
          <w:p>
            <w:pPr>
              <w:spacing w:after="0"/>
              <w:rPr>
                <w:sz w:val="1"/>
                <w:szCs w:val="1"/>
                <w:color w:val="auto"/>
              </w:rPr>
            </w:pPr>
          </w:p>
        </w:tc>
      </w:tr>
      <w:tr>
        <w:trPr>
          <w:trHeight w:val="129"/>
        </w:trPr>
        <w:tc>
          <w:tcPr>
            <w:tcW w:w="3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30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United States</w:t>
            </w:r>
          </w:p>
        </w:tc>
        <w:tc>
          <w:tcPr>
            <w:tcW w:w="700" w:type="dxa"/>
            <w:vAlign w:val="bottom"/>
            <w:shd w:val="clear" w:color="auto" w:fill="CCEEFF"/>
          </w:tcPr>
          <w:p>
            <w:pPr>
              <w:jc w:val="center"/>
              <w:spacing w:after="0" w:line="130" w:lineRule="exact"/>
              <w:rPr>
                <w:sz w:val="20"/>
                <w:szCs w:val="20"/>
                <w:color w:val="auto"/>
              </w:rPr>
            </w:pPr>
            <w:r>
              <w:rPr>
                <w:rFonts w:ascii="Times New Roman" w:cs="Times New Roman" w:eastAsia="Times New Roman" w:hAnsi="Times New Roman"/>
                <w:sz w:val="12"/>
                <w:szCs w:val="12"/>
                <w:color w:val="auto"/>
              </w:rPr>
              <w:t>$8.74</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center"/>
              <w:ind w:left="81"/>
              <w:spacing w:after="0" w:line="130" w:lineRule="exact"/>
              <w:rPr>
                <w:sz w:val="20"/>
                <w:szCs w:val="20"/>
                <w:color w:val="auto"/>
              </w:rPr>
            </w:pPr>
            <w:r>
              <w:rPr>
                <w:rFonts w:ascii="Times New Roman" w:cs="Times New Roman" w:eastAsia="Times New Roman" w:hAnsi="Times New Roman"/>
                <w:sz w:val="12"/>
                <w:szCs w:val="12"/>
                <w:color w:val="auto"/>
              </w:rPr>
              <w:t>$8.24</w:t>
            </w:r>
          </w:p>
        </w:tc>
        <w:tc>
          <w:tcPr>
            <w:tcW w:w="2500" w:type="dxa"/>
            <w:vAlign w:val="bottom"/>
            <w:gridSpan w:val="3"/>
            <w:shd w:val="clear" w:color="auto" w:fill="CCEEFF"/>
          </w:tcPr>
          <w:p>
            <w:pPr>
              <w:jc w:val="center"/>
              <w:ind w:left="181"/>
              <w:spacing w:after="0" w:line="130" w:lineRule="exact"/>
              <w:rPr>
                <w:sz w:val="20"/>
                <w:szCs w:val="20"/>
                <w:color w:val="auto"/>
              </w:rPr>
            </w:pPr>
            <w:r>
              <w:rPr>
                <w:rFonts w:ascii="Times New Roman" w:cs="Times New Roman" w:eastAsia="Times New Roman" w:hAnsi="Times New Roman"/>
                <w:sz w:val="12"/>
                <w:szCs w:val="12"/>
                <w:color w:val="auto"/>
              </w:rPr>
              <w:t>6.1%</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center"/>
              <w:ind w:left="121"/>
              <w:spacing w:after="0" w:line="130" w:lineRule="exact"/>
              <w:rPr>
                <w:sz w:val="20"/>
                <w:szCs w:val="20"/>
                <w:color w:val="auto"/>
              </w:rPr>
            </w:pPr>
            <w:r>
              <w:rPr>
                <w:rFonts w:ascii="Times New Roman" w:cs="Times New Roman" w:eastAsia="Times New Roman" w:hAnsi="Times New Roman"/>
                <w:sz w:val="12"/>
                <w:szCs w:val="12"/>
                <w:color w:val="auto"/>
              </w:rPr>
              <w:t>$8.70</w:t>
            </w:r>
          </w:p>
        </w:tc>
        <w:tc>
          <w:tcPr>
            <w:tcW w:w="920" w:type="dxa"/>
            <w:vAlign w:val="bottom"/>
            <w:gridSpan w:val="3"/>
            <w:shd w:val="clear" w:color="auto" w:fill="CCEEFF"/>
          </w:tcPr>
          <w:p>
            <w:pPr>
              <w:jc w:val="center"/>
              <w:ind w:left="383"/>
              <w:spacing w:after="0" w:line="130" w:lineRule="exact"/>
              <w:rPr>
                <w:sz w:val="20"/>
                <w:szCs w:val="20"/>
                <w:color w:val="auto"/>
              </w:rPr>
            </w:pPr>
            <w:r>
              <w:rPr>
                <w:rFonts w:ascii="Times New Roman" w:cs="Times New Roman" w:eastAsia="Times New Roman" w:hAnsi="Times New Roman"/>
                <w:sz w:val="12"/>
                <w:szCs w:val="12"/>
                <w:color w:val="auto"/>
              </w:rPr>
              <w:t>$8.05</w:t>
            </w:r>
          </w:p>
        </w:tc>
        <w:tc>
          <w:tcPr>
            <w:tcW w:w="2480" w:type="dxa"/>
            <w:vAlign w:val="bottom"/>
            <w:gridSpan w:val="3"/>
            <w:shd w:val="clear" w:color="auto" w:fill="CCEEFF"/>
          </w:tcPr>
          <w:p>
            <w:pPr>
              <w:jc w:val="center"/>
              <w:ind w:left="201"/>
              <w:spacing w:after="0" w:line="130" w:lineRule="exact"/>
              <w:rPr>
                <w:sz w:val="20"/>
                <w:szCs w:val="20"/>
                <w:color w:val="auto"/>
              </w:rPr>
            </w:pPr>
            <w:r>
              <w:rPr>
                <w:rFonts w:ascii="Times New Roman" w:cs="Times New Roman" w:eastAsia="Times New Roman" w:hAnsi="Times New Roman"/>
                <w:sz w:val="12"/>
                <w:szCs w:val="12"/>
                <w:color w:val="auto"/>
              </w:rPr>
              <w:t>8.1%</w:t>
            </w:r>
          </w:p>
        </w:tc>
        <w:tc>
          <w:tcPr>
            <w:tcW w:w="0" w:type="dxa"/>
            <w:vAlign w:val="bottom"/>
          </w:tcPr>
          <w:p>
            <w:pPr>
              <w:spacing w:after="0"/>
              <w:rPr>
                <w:sz w:val="1"/>
                <w:szCs w:val="1"/>
                <w:color w:val="auto"/>
              </w:rPr>
            </w:pPr>
          </w:p>
        </w:tc>
      </w:tr>
      <w:tr>
        <w:trPr>
          <w:trHeight w:val="130"/>
        </w:trPr>
        <w:tc>
          <w:tcPr>
            <w:tcW w:w="330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color w:val="auto"/>
              </w:rPr>
              <w:t>Australia</w:t>
            </w:r>
          </w:p>
        </w:tc>
        <w:tc>
          <w:tcPr>
            <w:tcW w:w="70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auto"/>
              </w:rPr>
              <w:t>$8.05</w:t>
            </w:r>
          </w:p>
        </w:tc>
        <w:tc>
          <w:tcPr>
            <w:tcW w:w="180" w:type="dxa"/>
            <w:vAlign w:val="bottom"/>
          </w:tcPr>
          <w:p>
            <w:pPr>
              <w:spacing w:after="0"/>
              <w:rPr>
                <w:sz w:val="11"/>
                <w:szCs w:val="11"/>
                <w:color w:val="auto"/>
              </w:rPr>
            </w:pPr>
          </w:p>
        </w:tc>
        <w:tc>
          <w:tcPr>
            <w:tcW w:w="540" w:type="dxa"/>
            <w:vAlign w:val="bottom"/>
          </w:tcPr>
          <w:p>
            <w:pPr>
              <w:jc w:val="center"/>
              <w:ind w:left="81"/>
              <w:spacing w:after="0" w:line="130" w:lineRule="exact"/>
              <w:rPr>
                <w:sz w:val="20"/>
                <w:szCs w:val="20"/>
                <w:color w:val="auto"/>
              </w:rPr>
            </w:pPr>
            <w:r>
              <w:rPr>
                <w:rFonts w:ascii="Times New Roman" w:cs="Times New Roman" w:eastAsia="Times New Roman" w:hAnsi="Times New Roman"/>
                <w:sz w:val="12"/>
                <w:szCs w:val="12"/>
                <w:color w:val="auto"/>
              </w:rPr>
              <w:t>$7.90</w:t>
            </w:r>
          </w:p>
        </w:tc>
        <w:tc>
          <w:tcPr>
            <w:tcW w:w="2500" w:type="dxa"/>
            <w:vAlign w:val="bottom"/>
            <w:gridSpan w:val="3"/>
          </w:tcPr>
          <w:p>
            <w:pPr>
              <w:jc w:val="center"/>
              <w:ind w:left="181"/>
              <w:spacing w:after="0" w:line="130" w:lineRule="exact"/>
              <w:rPr>
                <w:sz w:val="20"/>
                <w:szCs w:val="20"/>
                <w:color w:val="auto"/>
              </w:rPr>
            </w:pPr>
            <w:r>
              <w:rPr>
                <w:rFonts w:ascii="Times New Roman" w:cs="Times New Roman" w:eastAsia="Times New Roman" w:hAnsi="Times New Roman"/>
                <w:sz w:val="12"/>
                <w:szCs w:val="12"/>
                <w:color w:val="auto"/>
              </w:rPr>
              <w:t>1.9%</w:t>
            </w:r>
          </w:p>
        </w:tc>
        <w:tc>
          <w:tcPr>
            <w:tcW w:w="180" w:type="dxa"/>
            <w:vAlign w:val="bottom"/>
          </w:tcPr>
          <w:p>
            <w:pPr>
              <w:spacing w:after="0"/>
              <w:rPr>
                <w:sz w:val="11"/>
                <w:szCs w:val="11"/>
                <w:color w:val="auto"/>
              </w:rPr>
            </w:pPr>
          </w:p>
        </w:tc>
        <w:tc>
          <w:tcPr>
            <w:tcW w:w="500" w:type="dxa"/>
            <w:vAlign w:val="bottom"/>
          </w:tcPr>
          <w:p>
            <w:pPr>
              <w:jc w:val="center"/>
              <w:ind w:left="121"/>
              <w:spacing w:after="0" w:line="130" w:lineRule="exact"/>
              <w:rPr>
                <w:sz w:val="20"/>
                <w:szCs w:val="20"/>
                <w:color w:val="auto"/>
              </w:rPr>
            </w:pPr>
            <w:r>
              <w:rPr>
                <w:rFonts w:ascii="Times New Roman" w:cs="Times New Roman" w:eastAsia="Times New Roman" w:hAnsi="Times New Roman"/>
                <w:sz w:val="12"/>
                <w:szCs w:val="12"/>
                <w:color w:val="auto"/>
              </w:rPr>
              <w:t>$8.07</w:t>
            </w:r>
          </w:p>
        </w:tc>
        <w:tc>
          <w:tcPr>
            <w:tcW w:w="920" w:type="dxa"/>
            <w:vAlign w:val="bottom"/>
            <w:gridSpan w:val="3"/>
          </w:tcPr>
          <w:p>
            <w:pPr>
              <w:jc w:val="center"/>
              <w:ind w:left="383"/>
              <w:spacing w:after="0" w:line="130" w:lineRule="exact"/>
              <w:rPr>
                <w:sz w:val="20"/>
                <w:szCs w:val="20"/>
                <w:color w:val="auto"/>
              </w:rPr>
            </w:pPr>
            <w:r>
              <w:rPr>
                <w:rFonts w:ascii="Times New Roman" w:cs="Times New Roman" w:eastAsia="Times New Roman" w:hAnsi="Times New Roman"/>
                <w:sz w:val="12"/>
                <w:szCs w:val="12"/>
                <w:color w:val="auto"/>
              </w:rPr>
              <w:t>$7.76</w:t>
            </w:r>
          </w:p>
        </w:tc>
        <w:tc>
          <w:tcPr>
            <w:tcW w:w="2480" w:type="dxa"/>
            <w:vAlign w:val="bottom"/>
            <w:gridSpan w:val="3"/>
          </w:tcPr>
          <w:p>
            <w:pPr>
              <w:jc w:val="center"/>
              <w:ind w:left="201"/>
              <w:spacing w:after="0" w:line="130" w:lineRule="exact"/>
              <w:rPr>
                <w:sz w:val="20"/>
                <w:szCs w:val="20"/>
                <w:color w:val="auto"/>
              </w:rPr>
            </w:pPr>
            <w:r>
              <w:rPr>
                <w:rFonts w:ascii="Times New Roman" w:cs="Times New Roman" w:eastAsia="Times New Roman" w:hAnsi="Times New Roman"/>
                <w:sz w:val="12"/>
                <w:szCs w:val="12"/>
                <w:color w:val="auto"/>
              </w:rPr>
              <w:t>4.0%</w:t>
            </w:r>
          </w:p>
        </w:tc>
        <w:tc>
          <w:tcPr>
            <w:tcW w:w="0" w:type="dxa"/>
            <w:vAlign w:val="bottom"/>
          </w:tcPr>
          <w:p>
            <w:pPr>
              <w:spacing w:after="0"/>
              <w:rPr>
                <w:sz w:val="1"/>
                <w:szCs w:val="1"/>
                <w:color w:val="auto"/>
              </w:rPr>
            </w:pPr>
          </w:p>
        </w:tc>
      </w:tr>
      <w:tr>
        <w:trPr>
          <w:trHeight w:val="130"/>
        </w:trPr>
        <w:tc>
          <w:tcPr>
            <w:tcW w:w="330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New Zealand</w:t>
            </w:r>
          </w:p>
        </w:tc>
        <w:tc>
          <w:tcPr>
            <w:tcW w:w="700" w:type="dxa"/>
            <w:vAlign w:val="bottom"/>
            <w:shd w:val="clear" w:color="auto" w:fill="CCEEFF"/>
          </w:tcPr>
          <w:p>
            <w:pPr>
              <w:jc w:val="center"/>
              <w:spacing w:after="0" w:line="130" w:lineRule="exact"/>
              <w:rPr>
                <w:sz w:val="20"/>
                <w:szCs w:val="20"/>
                <w:color w:val="auto"/>
              </w:rPr>
            </w:pPr>
            <w:r>
              <w:rPr>
                <w:rFonts w:ascii="Times New Roman" w:cs="Times New Roman" w:eastAsia="Times New Roman" w:hAnsi="Times New Roman"/>
                <w:sz w:val="12"/>
                <w:szCs w:val="12"/>
                <w:color w:val="auto"/>
              </w:rPr>
              <w:t>$6.75</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center"/>
              <w:ind w:left="81"/>
              <w:spacing w:after="0" w:line="130" w:lineRule="exact"/>
              <w:rPr>
                <w:sz w:val="20"/>
                <w:szCs w:val="20"/>
                <w:color w:val="auto"/>
              </w:rPr>
            </w:pPr>
            <w:r>
              <w:rPr>
                <w:rFonts w:ascii="Times New Roman" w:cs="Times New Roman" w:eastAsia="Times New Roman" w:hAnsi="Times New Roman"/>
                <w:sz w:val="12"/>
                <w:szCs w:val="12"/>
                <w:color w:val="auto"/>
              </w:rPr>
              <w:t>$6.62</w:t>
            </w:r>
          </w:p>
        </w:tc>
        <w:tc>
          <w:tcPr>
            <w:tcW w:w="2500" w:type="dxa"/>
            <w:vAlign w:val="bottom"/>
            <w:gridSpan w:val="3"/>
            <w:shd w:val="clear" w:color="auto" w:fill="CCEEFF"/>
          </w:tcPr>
          <w:p>
            <w:pPr>
              <w:jc w:val="center"/>
              <w:ind w:left="181"/>
              <w:spacing w:after="0" w:line="130" w:lineRule="exact"/>
              <w:rPr>
                <w:sz w:val="20"/>
                <w:szCs w:val="20"/>
                <w:color w:val="auto"/>
              </w:rPr>
            </w:pPr>
            <w:r>
              <w:rPr>
                <w:rFonts w:ascii="Times New Roman" w:cs="Times New Roman" w:eastAsia="Times New Roman" w:hAnsi="Times New Roman"/>
                <w:sz w:val="12"/>
                <w:szCs w:val="12"/>
                <w:color w:val="auto"/>
              </w:rPr>
              <w:t>2.0%</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center"/>
              <w:ind w:left="121"/>
              <w:spacing w:after="0" w:line="130" w:lineRule="exact"/>
              <w:rPr>
                <w:sz w:val="20"/>
                <w:szCs w:val="20"/>
                <w:color w:val="auto"/>
              </w:rPr>
            </w:pPr>
            <w:r>
              <w:rPr>
                <w:rFonts w:ascii="Times New Roman" w:cs="Times New Roman" w:eastAsia="Times New Roman" w:hAnsi="Times New Roman"/>
                <w:sz w:val="12"/>
                <w:szCs w:val="12"/>
                <w:color w:val="auto"/>
              </w:rPr>
              <w:t>$6.91</w:t>
            </w:r>
          </w:p>
        </w:tc>
        <w:tc>
          <w:tcPr>
            <w:tcW w:w="920" w:type="dxa"/>
            <w:vAlign w:val="bottom"/>
            <w:gridSpan w:val="3"/>
            <w:shd w:val="clear" w:color="auto" w:fill="CCEEFF"/>
          </w:tcPr>
          <w:p>
            <w:pPr>
              <w:jc w:val="center"/>
              <w:ind w:left="383"/>
              <w:spacing w:after="0" w:line="130" w:lineRule="exact"/>
              <w:rPr>
                <w:sz w:val="20"/>
                <w:szCs w:val="20"/>
                <w:color w:val="auto"/>
              </w:rPr>
            </w:pPr>
            <w:r>
              <w:rPr>
                <w:rFonts w:ascii="Times New Roman" w:cs="Times New Roman" w:eastAsia="Times New Roman" w:hAnsi="Times New Roman"/>
                <w:sz w:val="12"/>
                <w:szCs w:val="12"/>
                <w:color w:val="auto"/>
              </w:rPr>
              <w:t>$6.63</w:t>
            </w:r>
          </w:p>
        </w:tc>
        <w:tc>
          <w:tcPr>
            <w:tcW w:w="2480" w:type="dxa"/>
            <w:vAlign w:val="bottom"/>
            <w:gridSpan w:val="3"/>
            <w:shd w:val="clear" w:color="auto" w:fill="CCEEFF"/>
          </w:tcPr>
          <w:p>
            <w:pPr>
              <w:jc w:val="center"/>
              <w:ind w:left="201"/>
              <w:spacing w:after="0" w:line="130" w:lineRule="exact"/>
              <w:rPr>
                <w:sz w:val="20"/>
                <w:szCs w:val="20"/>
                <w:color w:val="auto"/>
              </w:rPr>
            </w:pPr>
            <w:r>
              <w:rPr>
                <w:rFonts w:ascii="Times New Roman" w:cs="Times New Roman" w:eastAsia="Times New Roman" w:hAnsi="Times New Roman"/>
                <w:sz w:val="12"/>
                <w:szCs w:val="12"/>
                <w:color w:val="auto"/>
              </w:rPr>
              <w:t>4.2%</w:t>
            </w: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Average Ticket Price per Patron</w:t>
      </w:r>
    </w:p>
    <w:p>
      <w:pPr>
        <w:spacing w:after="0" w:line="134"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2"/>
          <w:szCs w:val="12"/>
          <w:color w:val="auto"/>
        </w:rPr>
        <w:t>An additional key performance indicator utilized by management in our cinema segment is Average Ticket Price (“ATP”) Per Patron, which is calculated based on our total Box Office Revenues on a post-tax basis divided by our attendance during a specific period. ATP serves to measure our operational cinema performance when compared to that of our competitors. ATP is a useful metric for evaluating our ability to achieve a strong top line performance, gauging the effectiveness of our cinemas’ pricing strategies and our ability to draw audiences back to our theaters. Management uses ATP to adjust and inform ticket pricing schemes for our individual theaters, measure the effectiveness of our content programming, and ensure that price barriers are not created for core guests.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Quarter Months Ended</w:t>
            </w:r>
          </w:p>
        </w:tc>
        <w:tc>
          <w:tcPr>
            <w:tcW w:w="1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0" w:type="dxa"/>
            <w:vAlign w:val="bottom"/>
          </w:tcPr>
          <w:p>
            <w:pPr>
              <w:spacing w:after="0"/>
              <w:rPr>
                <w:sz w:val="1"/>
                <w:szCs w:val="1"/>
                <w:color w:val="auto"/>
              </w:rPr>
            </w:pPr>
          </w:p>
        </w:tc>
      </w:tr>
      <w:tr>
        <w:trPr>
          <w:trHeight w:val="110"/>
        </w:trPr>
        <w:tc>
          <w:tcPr>
            <w:tcW w:w="33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color w:val="auto"/>
                <w:w w:val="98"/>
              </w:rPr>
              <w:t>Average Ticket Price</w:t>
            </w:r>
          </w:p>
        </w:tc>
        <w:tc>
          <w:tcPr>
            <w:tcW w:w="1420" w:type="dxa"/>
            <w:vAlign w:val="bottom"/>
            <w:tcBorders>
              <w:bottom w:val="single" w:sz="8" w:color="auto"/>
            </w:tcBorders>
            <w:gridSpan w:val="3"/>
          </w:tcPr>
          <w:p>
            <w:pPr>
              <w:ind w:left="480"/>
              <w:spacing w:after="0" w:line="111"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4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 Change</w:t>
            </w:r>
          </w:p>
        </w:tc>
        <w:tc>
          <w:tcPr>
            <w:tcW w:w="1440" w:type="dxa"/>
            <w:vAlign w:val="bottom"/>
            <w:tcBorders>
              <w:bottom w:val="single" w:sz="8" w:color="auto"/>
            </w:tcBorders>
            <w:gridSpan w:val="3"/>
          </w:tcPr>
          <w:p>
            <w:pPr>
              <w:ind w:left="500"/>
              <w:spacing w:after="0" w:line="111"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84"/>
        </w:trPr>
        <w:tc>
          <w:tcPr>
            <w:tcW w:w="3300" w:type="dxa"/>
            <w:vAlign w:val="bottom"/>
            <w:gridSpan w:val="2"/>
            <w:vMerge w:val="continue"/>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180" w:type="dxa"/>
            <w:vAlign w:val="bottom"/>
          </w:tcPr>
          <w:p>
            <w:pPr>
              <w:spacing w:after="0"/>
              <w:rPr>
                <w:sz w:val="7"/>
                <w:szCs w:val="7"/>
                <w:color w:val="auto"/>
              </w:rPr>
            </w:pPr>
          </w:p>
        </w:tc>
        <w:tc>
          <w:tcPr>
            <w:tcW w:w="540" w:type="dxa"/>
            <w:vAlign w:val="bottom"/>
            <w:vMerge w:val="restart"/>
          </w:tcPr>
          <w:p>
            <w:pPr>
              <w:jc w:val="center"/>
              <w:ind w:left="81"/>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20" w:type="dxa"/>
            <w:vAlign w:val="bottom"/>
            <w:gridSpan w:val="2"/>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100" w:type="dxa"/>
            <w:vAlign w:val="bottom"/>
          </w:tcPr>
          <w:p>
            <w:pPr>
              <w:spacing w:after="0"/>
              <w:rPr>
                <w:sz w:val="7"/>
                <w:szCs w:val="7"/>
                <w:color w:val="auto"/>
              </w:rPr>
            </w:pPr>
          </w:p>
        </w:tc>
        <w:tc>
          <w:tcPr>
            <w:tcW w:w="660" w:type="dxa"/>
            <w:vAlign w:val="bottom"/>
            <w:vMerge w:val="restart"/>
          </w:tcPr>
          <w:p>
            <w:pPr>
              <w:jc w:val="center"/>
              <w:ind w:left="81"/>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33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color w:val="auto"/>
                <w:w w:val="98"/>
              </w:rPr>
              <w:t>(in‎ functional currency)</w:t>
            </w:r>
          </w:p>
        </w:tc>
        <w:tc>
          <w:tcPr>
            <w:tcW w:w="7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Fav/(Unfav)</w:t>
            </w: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Fav/(Unfav)</w:t>
            </w:r>
          </w:p>
        </w:tc>
        <w:tc>
          <w:tcPr>
            <w:tcW w:w="0" w:type="dxa"/>
            <w:vAlign w:val="bottom"/>
          </w:tcPr>
          <w:p>
            <w:pPr>
              <w:spacing w:after="0"/>
              <w:rPr>
                <w:sz w:val="1"/>
                <w:szCs w:val="1"/>
                <w:color w:val="auto"/>
              </w:rPr>
            </w:pPr>
          </w:p>
        </w:tc>
      </w:tr>
      <w:tr>
        <w:trPr>
          <w:trHeight w:val="129"/>
        </w:trPr>
        <w:tc>
          <w:tcPr>
            <w:tcW w:w="3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30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United States</w:t>
            </w:r>
          </w:p>
        </w:tc>
        <w:tc>
          <w:tcPr>
            <w:tcW w:w="700" w:type="dxa"/>
            <w:vAlign w:val="bottom"/>
            <w:shd w:val="clear" w:color="auto" w:fill="CCEEFF"/>
          </w:tcPr>
          <w:p>
            <w:pPr>
              <w:jc w:val="center"/>
              <w:spacing w:after="0" w:line="130" w:lineRule="exact"/>
              <w:rPr>
                <w:sz w:val="20"/>
                <w:szCs w:val="20"/>
                <w:color w:val="auto"/>
              </w:rPr>
            </w:pPr>
            <w:r>
              <w:rPr>
                <w:rFonts w:ascii="Times New Roman" w:cs="Times New Roman" w:eastAsia="Times New Roman" w:hAnsi="Times New Roman"/>
                <w:sz w:val="12"/>
                <w:szCs w:val="12"/>
                <w:color w:val="auto"/>
              </w:rPr>
              <w:t>$13.13</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center"/>
              <w:ind w:left="101"/>
              <w:spacing w:after="0" w:line="130" w:lineRule="exact"/>
              <w:rPr>
                <w:sz w:val="20"/>
                <w:szCs w:val="20"/>
                <w:color w:val="auto"/>
              </w:rPr>
            </w:pPr>
            <w:r>
              <w:rPr>
                <w:rFonts w:ascii="Times New Roman" w:cs="Times New Roman" w:eastAsia="Times New Roman" w:hAnsi="Times New Roman"/>
                <w:sz w:val="12"/>
                <w:szCs w:val="12"/>
                <w:color w:val="auto"/>
              </w:rPr>
              <w:t>$13.17</w:t>
            </w:r>
          </w:p>
        </w:tc>
        <w:tc>
          <w:tcPr>
            <w:tcW w:w="2500" w:type="dxa"/>
            <w:vAlign w:val="bottom"/>
            <w:gridSpan w:val="3"/>
            <w:shd w:val="clear" w:color="auto" w:fill="CCEEFF"/>
          </w:tcPr>
          <w:p>
            <w:pPr>
              <w:jc w:val="center"/>
              <w:ind w:left="181"/>
              <w:spacing w:after="0" w:line="130" w:lineRule="exact"/>
              <w:rPr>
                <w:sz w:val="20"/>
                <w:szCs w:val="20"/>
                <w:color w:val="auto"/>
              </w:rPr>
            </w:pPr>
            <w:r>
              <w:rPr>
                <w:rFonts w:ascii="Times New Roman" w:cs="Times New Roman" w:eastAsia="Times New Roman" w:hAnsi="Times New Roman"/>
                <w:sz w:val="12"/>
                <w:szCs w:val="12"/>
                <w:color w:val="auto"/>
              </w:rPr>
              <w:t>(0.3)%</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0" w:lineRule="exact"/>
              <w:rPr>
                <w:sz w:val="20"/>
                <w:szCs w:val="20"/>
                <w:color w:val="auto"/>
              </w:rPr>
            </w:pPr>
            <w:r>
              <w:rPr>
                <w:rFonts w:ascii="Times New Roman" w:cs="Times New Roman" w:eastAsia="Times New Roman" w:hAnsi="Times New Roman"/>
                <w:sz w:val="12"/>
                <w:szCs w:val="12"/>
                <w:color w:val="auto"/>
              </w:rPr>
              <w:t>$13.35</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center"/>
              <w:ind w:left="101"/>
              <w:spacing w:after="0" w:line="130" w:lineRule="exact"/>
              <w:rPr>
                <w:sz w:val="20"/>
                <w:szCs w:val="20"/>
                <w:color w:val="auto"/>
              </w:rPr>
            </w:pPr>
            <w:r>
              <w:rPr>
                <w:rFonts w:ascii="Times New Roman" w:cs="Times New Roman" w:eastAsia="Times New Roman" w:hAnsi="Times New Roman"/>
                <w:sz w:val="12"/>
                <w:szCs w:val="12"/>
                <w:color w:val="auto"/>
              </w:rPr>
              <w:t>$13.38</w:t>
            </w:r>
          </w:p>
        </w:tc>
        <w:tc>
          <w:tcPr>
            <w:tcW w:w="2460" w:type="dxa"/>
            <w:vAlign w:val="bottom"/>
            <w:gridSpan w:val="3"/>
            <w:shd w:val="clear" w:color="auto" w:fill="CCEEFF"/>
          </w:tcPr>
          <w:p>
            <w:pPr>
              <w:jc w:val="center"/>
              <w:ind w:left="181"/>
              <w:spacing w:after="0" w:line="130" w:lineRule="exact"/>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30"/>
        </w:trPr>
        <w:tc>
          <w:tcPr>
            <w:tcW w:w="330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color w:val="auto"/>
              </w:rPr>
              <w:t>Australia</w:t>
            </w:r>
          </w:p>
        </w:tc>
        <w:tc>
          <w:tcPr>
            <w:tcW w:w="70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auto"/>
              </w:rPr>
              <w:t>$15.44</w:t>
            </w:r>
          </w:p>
        </w:tc>
        <w:tc>
          <w:tcPr>
            <w:tcW w:w="180" w:type="dxa"/>
            <w:vAlign w:val="bottom"/>
          </w:tcPr>
          <w:p>
            <w:pPr>
              <w:spacing w:after="0"/>
              <w:rPr>
                <w:sz w:val="11"/>
                <w:szCs w:val="11"/>
                <w:color w:val="auto"/>
              </w:rPr>
            </w:pPr>
          </w:p>
        </w:tc>
        <w:tc>
          <w:tcPr>
            <w:tcW w:w="540" w:type="dxa"/>
            <w:vAlign w:val="bottom"/>
          </w:tcPr>
          <w:p>
            <w:pPr>
              <w:jc w:val="center"/>
              <w:ind w:left="101"/>
              <w:spacing w:after="0" w:line="130" w:lineRule="exact"/>
              <w:rPr>
                <w:sz w:val="20"/>
                <w:szCs w:val="20"/>
                <w:color w:val="auto"/>
              </w:rPr>
            </w:pPr>
            <w:r>
              <w:rPr>
                <w:rFonts w:ascii="Times New Roman" w:cs="Times New Roman" w:eastAsia="Times New Roman" w:hAnsi="Times New Roman"/>
                <w:sz w:val="12"/>
                <w:szCs w:val="12"/>
                <w:color w:val="auto"/>
              </w:rPr>
              <w:t>$13.13</w:t>
            </w:r>
          </w:p>
        </w:tc>
        <w:tc>
          <w:tcPr>
            <w:tcW w:w="2500" w:type="dxa"/>
            <w:vAlign w:val="bottom"/>
            <w:gridSpan w:val="3"/>
          </w:tcPr>
          <w:p>
            <w:pPr>
              <w:jc w:val="center"/>
              <w:ind w:left="201"/>
              <w:spacing w:after="0" w:line="130" w:lineRule="exact"/>
              <w:rPr>
                <w:sz w:val="20"/>
                <w:szCs w:val="20"/>
                <w:color w:val="auto"/>
              </w:rPr>
            </w:pPr>
            <w:r>
              <w:rPr>
                <w:rFonts w:ascii="Times New Roman" w:cs="Times New Roman" w:eastAsia="Times New Roman" w:hAnsi="Times New Roman"/>
                <w:sz w:val="12"/>
                <w:szCs w:val="12"/>
                <w:color w:val="auto"/>
              </w:rPr>
              <w:t>17.6%</w:t>
            </w:r>
          </w:p>
        </w:tc>
        <w:tc>
          <w:tcPr>
            <w:tcW w:w="18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auto"/>
              </w:rPr>
              <w:t>$15.81</w:t>
            </w:r>
          </w:p>
        </w:tc>
        <w:tc>
          <w:tcPr>
            <w:tcW w:w="100" w:type="dxa"/>
            <w:vAlign w:val="bottom"/>
          </w:tcPr>
          <w:p>
            <w:pPr>
              <w:spacing w:after="0"/>
              <w:rPr>
                <w:sz w:val="11"/>
                <w:szCs w:val="11"/>
                <w:color w:val="auto"/>
              </w:rPr>
            </w:pPr>
          </w:p>
        </w:tc>
        <w:tc>
          <w:tcPr>
            <w:tcW w:w="660" w:type="dxa"/>
            <w:vAlign w:val="bottom"/>
          </w:tcPr>
          <w:p>
            <w:pPr>
              <w:jc w:val="center"/>
              <w:ind w:left="101"/>
              <w:spacing w:after="0" w:line="130" w:lineRule="exact"/>
              <w:rPr>
                <w:sz w:val="20"/>
                <w:szCs w:val="20"/>
                <w:color w:val="auto"/>
              </w:rPr>
            </w:pPr>
            <w:r>
              <w:rPr>
                <w:rFonts w:ascii="Times New Roman" w:cs="Times New Roman" w:eastAsia="Times New Roman" w:hAnsi="Times New Roman"/>
                <w:sz w:val="12"/>
                <w:szCs w:val="12"/>
                <w:color w:val="auto"/>
              </w:rPr>
              <w:t>$13.26</w:t>
            </w:r>
          </w:p>
        </w:tc>
        <w:tc>
          <w:tcPr>
            <w:tcW w:w="2460" w:type="dxa"/>
            <w:vAlign w:val="bottom"/>
            <w:gridSpan w:val="3"/>
          </w:tcPr>
          <w:p>
            <w:pPr>
              <w:jc w:val="center"/>
              <w:ind w:left="201"/>
              <w:spacing w:after="0" w:line="130" w:lineRule="exact"/>
              <w:rPr>
                <w:sz w:val="20"/>
                <w:szCs w:val="20"/>
                <w:color w:val="auto"/>
              </w:rPr>
            </w:pPr>
            <w:r>
              <w:rPr>
                <w:rFonts w:ascii="Times New Roman" w:cs="Times New Roman" w:eastAsia="Times New Roman" w:hAnsi="Times New Roman"/>
                <w:sz w:val="12"/>
                <w:szCs w:val="12"/>
                <w:color w:val="auto"/>
              </w:rPr>
              <w:t>19.2%</w:t>
            </w:r>
          </w:p>
        </w:tc>
        <w:tc>
          <w:tcPr>
            <w:tcW w:w="0" w:type="dxa"/>
            <w:vAlign w:val="bottom"/>
          </w:tcPr>
          <w:p>
            <w:pPr>
              <w:spacing w:after="0"/>
              <w:rPr>
                <w:sz w:val="1"/>
                <w:szCs w:val="1"/>
                <w:color w:val="auto"/>
              </w:rPr>
            </w:pPr>
          </w:p>
        </w:tc>
      </w:tr>
      <w:tr>
        <w:trPr>
          <w:trHeight w:val="130"/>
        </w:trPr>
        <w:tc>
          <w:tcPr>
            <w:tcW w:w="330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New Zealand</w:t>
            </w:r>
          </w:p>
        </w:tc>
        <w:tc>
          <w:tcPr>
            <w:tcW w:w="700" w:type="dxa"/>
            <w:vAlign w:val="bottom"/>
            <w:shd w:val="clear" w:color="auto" w:fill="CCEEFF"/>
          </w:tcPr>
          <w:p>
            <w:pPr>
              <w:jc w:val="center"/>
              <w:spacing w:after="0" w:line="130" w:lineRule="exact"/>
              <w:rPr>
                <w:sz w:val="20"/>
                <w:szCs w:val="20"/>
                <w:color w:val="auto"/>
              </w:rPr>
            </w:pPr>
            <w:r>
              <w:rPr>
                <w:rFonts w:ascii="Times New Roman" w:cs="Times New Roman" w:eastAsia="Times New Roman" w:hAnsi="Times New Roman"/>
                <w:sz w:val="12"/>
                <w:szCs w:val="12"/>
                <w:color w:val="auto"/>
              </w:rPr>
              <w:t>$13.65</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center"/>
              <w:ind w:left="101"/>
              <w:spacing w:after="0" w:line="130" w:lineRule="exact"/>
              <w:rPr>
                <w:sz w:val="20"/>
                <w:szCs w:val="20"/>
                <w:color w:val="auto"/>
              </w:rPr>
            </w:pPr>
            <w:r>
              <w:rPr>
                <w:rFonts w:ascii="Times New Roman" w:cs="Times New Roman" w:eastAsia="Times New Roman" w:hAnsi="Times New Roman"/>
                <w:sz w:val="12"/>
                <w:szCs w:val="12"/>
                <w:color w:val="auto"/>
              </w:rPr>
              <w:t>$10.95</w:t>
            </w:r>
          </w:p>
        </w:tc>
        <w:tc>
          <w:tcPr>
            <w:tcW w:w="2500" w:type="dxa"/>
            <w:vAlign w:val="bottom"/>
            <w:gridSpan w:val="3"/>
            <w:shd w:val="clear" w:color="auto" w:fill="CCEEFF"/>
          </w:tcPr>
          <w:p>
            <w:pPr>
              <w:jc w:val="center"/>
              <w:ind w:left="201"/>
              <w:spacing w:after="0" w:line="130" w:lineRule="exact"/>
              <w:rPr>
                <w:sz w:val="20"/>
                <w:szCs w:val="20"/>
                <w:color w:val="auto"/>
              </w:rPr>
            </w:pPr>
            <w:r>
              <w:rPr>
                <w:rFonts w:ascii="Times New Roman" w:cs="Times New Roman" w:eastAsia="Times New Roman" w:hAnsi="Times New Roman"/>
                <w:sz w:val="12"/>
                <w:szCs w:val="12"/>
                <w:color w:val="auto"/>
              </w:rPr>
              <w:t>24.7%</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0" w:lineRule="exact"/>
              <w:rPr>
                <w:sz w:val="20"/>
                <w:szCs w:val="20"/>
                <w:color w:val="auto"/>
              </w:rPr>
            </w:pPr>
            <w:r>
              <w:rPr>
                <w:rFonts w:ascii="Times New Roman" w:cs="Times New Roman" w:eastAsia="Times New Roman" w:hAnsi="Times New Roman"/>
                <w:sz w:val="12"/>
                <w:szCs w:val="12"/>
                <w:color w:val="auto"/>
              </w:rPr>
              <w:t>$14.09</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center"/>
              <w:ind w:left="101"/>
              <w:spacing w:after="0" w:line="130" w:lineRule="exact"/>
              <w:rPr>
                <w:sz w:val="20"/>
                <w:szCs w:val="20"/>
                <w:color w:val="auto"/>
              </w:rPr>
            </w:pPr>
            <w:r>
              <w:rPr>
                <w:rFonts w:ascii="Times New Roman" w:cs="Times New Roman" w:eastAsia="Times New Roman" w:hAnsi="Times New Roman"/>
                <w:sz w:val="12"/>
                <w:szCs w:val="12"/>
                <w:color w:val="auto"/>
              </w:rPr>
              <w:t>$11.30</w:t>
            </w:r>
          </w:p>
        </w:tc>
        <w:tc>
          <w:tcPr>
            <w:tcW w:w="2460" w:type="dxa"/>
            <w:vAlign w:val="bottom"/>
            <w:gridSpan w:val="3"/>
            <w:shd w:val="clear" w:color="auto" w:fill="CCEEFF"/>
          </w:tcPr>
          <w:p>
            <w:pPr>
              <w:jc w:val="center"/>
              <w:ind w:left="201"/>
              <w:spacing w:after="0" w:line="130" w:lineRule="exact"/>
              <w:rPr>
                <w:sz w:val="20"/>
                <w:szCs w:val="20"/>
                <w:color w:val="auto"/>
              </w:rPr>
            </w:pPr>
            <w:r>
              <w:rPr>
                <w:rFonts w:ascii="Times New Roman" w:cs="Times New Roman" w:eastAsia="Times New Roman" w:hAnsi="Times New Roman"/>
                <w:sz w:val="12"/>
                <w:szCs w:val="12"/>
                <w:color w:val="auto"/>
              </w:rPr>
              <w:t>24.7%</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Real Estate Key Performance Indicators</w:t>
      </w:r>
    </w:p>
    <w:p>
      <w:pPr>
        <w:spacing w:after="0" w:line="1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The key performance indicators used by management in our real estate segment vary according to jurisdiction. At the current time, in the United States, we assess our real estate division (including 44 Union Square and our historical railroad assets, but excluding our Live Theatres), solely on a net operating income basis. We have no specific key performance standards to compare performance from period to period. Rather we analyze operating budgets and projections and compare actual results to budgeted or projected results from time to time.</w:t>
      </w:r>
    </w:p>
    <w:p>
      <w:pPr>
        <w:spacing w:after="0" w:line="1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2"/>
          <w:szCs w:val="12"/>
          <w:color w:val="auto"/>
        </w:rPr>
        <w:t>In Australia and New Zealand, we assess our properties held for rent using net operating income, occupancy factor (the percentage of the net rentable area of our properties that are leased) and average lease duration. We believe our chosen indicators help us effectively assess the return on investment on our real estate assets.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144145</wp:posOffset>
            </wp:positionV>
            <wp:extent cx="7200265"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28"/>
        </w:trPr>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Quarter Months Ended</w:t>
            </w:r>
          </w:p>
        </w:tc>
        <w:tc>
          <w:tcPr>
            <w:tcW w:w="1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1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380" w:type="dxa"/>
            <w:vAlign w:val="bottom"/>
            <w:vMerge w:val="restart"/>
          </w:tcPr>
          <w:p>
            <w:pPr>
              <w:jc w:val="center"/>
              <w:ind w:left="3"/>
              <w:spacing w:after="0"/>
              <w:rPr>
                <w:sz w:val="20"/>
                <w:szCs w:val="20"/>
                <w:color w:val="auto"/>
              </w:rPr>
            </w:pPr>
            <w:r>
              <w:rPr>
                <w:rFonts w:ascii="Times New Roman" w:cs="Times New Roman" w:eastAsia="Times New Roman" w:hAnsi="Times New Roman"/>
                <w:sz w:val="10"/>
                <w:szCs w:val="10"/>
                <w:b w:val="1"/>
                <w:bCs w:val="1"/>
                <w:color w:val="auto"/>
                <w:w w:val="98"/>
              </w:rPr>
              <w:t>Real Estate</w:t>
            </w:r>
          </w:p>
        </w:tc>
        <w:tc>
          <w:tcPr>
            <w:tcW w:w="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3"/>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vMerge w:val="restart"/>
          </w:tcPr>
          <w:p>
            <w:pPr>
              <w:jc w:val="center"/>
              <w:ind w:right="281"/>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00" w:type="dxa"/>
            <w:vAlign w:val="bottom"/>
            <w:gridSpan w:val="7"/>
          </w:tcPr>
          <w:p>
            <w:pPr>
              <w:ind w:left="600"/>
              <w:spacing w:after="0" w:line="111"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400" w:type="dxa"/>
            <w:vAlign w:val="bottom"/>
            <w:vMerge w:val="restart"/>
          </w:tcPr>
          <w:p>
            <w:pPr>
              <w:jc w:val="center"/>
              <w:ind w:right="201"/>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84"/>
        </w:trPr>
        <w:tc>
          <w:tcPr>
            <w:tcW w:w="13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40" w:type="dxa"/>
            <w:vAlign w:val="bottom"/>
            <w:tcBorders>
              <w:top w:val="single" w:sz="8" w:color="auto"/>
            </w:tcBorders>
            <w:vMerge w:val="restart"/>
          </w:tcPr>
          <w:p>
            <w:pPr>
              <w:jc w:val="right"/>
              <w:ind w:right="341"/>
              <w:spacing w:after="0"/>
              <w:rPr>
                <w:sz w:val="20"/>
                <w:szCs w:val="20"/>
                <w:color w:val="auto"/>
              </w:rPr>
            </w:pPr>
            <w:r>
              <w:rPr>
                <w:rFonts w:ascii="Times New Roman" w:cs="Times New Roman" w:eastAsia="Times New Roman" w:hAnsi="Times New Roman"/>
                <w:sz w:val="10"/>
                <w:szCs w:val="10"/>
                <w:b w:val="1"/>
                <w:bCs w:val="1"/>
                <w:color w:val="auto"/>
              </w:rPr>
              <w:t>2025</w:t>
            </w:r>
          </w:p>
        </w:tc>
        <w:tc>
          <w:tcPr>
            <w:tcW w:w="6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740" w:type="dxa"/>
            <w:vAlign w:val="bottom"/>
            <w:tcBorders>
              <w:top w:val="single" w:sz="8" w:color="auto"/>
            </w:tcBorders>
            <w:vMerge w:val="restart"/>
          </w:tcPr>
          <w:p>
            <w:pPr>
              <w:jc w:val="right"/>
              <w:ind w:right="361"/>
              <w:spacing w:after="0"/>
              <w:rPr>
                <w:sz w:val="20"/>
                <w:szCs w:val="20"/>
                <w:color w:val="auto"/>
              </w:rPr>
            </w:pPr>
            <w:r>
              <w:rPr>
                <w:rFonts w:ascii="Times New Roman" w:cs="Times New Roman" w:eastAsia="Times New Roman" w:hAnsi="Times New Roman"/>
                <w:sz w:val="10"/>
                <w:szCs w:val="10"/>
                <w:b w:val="1"/>
                <w:bCs w:val="1"/>
                <w:color w:val="auto"/>
              </w:rPr>
              <w:t>2024</w:t>
            </w: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80" w:type="dxa"/>
            <w:vAlign w:val="bottom"/>
            <w:tcBorders>
              <w:top w:val="single" w:sz="8" w:color="auto"/>
            </w:tcBorders>
            <w:vMerge w:val="restart"/>
          </w:tcPr>
          <w:p>
            <w:pPr>
              <w:jc w:val="right"/>
              <w:ind w:right="361"/>
              <w:spacing w:after="0"/>
              <w:rPr>
                <w:sz w:val="20"/>
                <w:szCs w:val="20"/>
                <w:color w:val="auto"/>
              </w:rPr>
            </w:pPr>
            <w:r>
              <w:rPr>
                <w:rFonts w:ascii="Times New Roman" w:cs="Times New Roman" w:eastAsia="Times New Roman" w:hAnsi="Times New Roman"/>
                <w:sz w:val="10"/>
                <w:szCs w:val="10"/>
                <w:b w:val="1"/>
                <w:bCs w:val="1"/>
                <w:color w:val="auto"/>
              </w:rPr>
              <w:t>2025</w:t>
            </w:r>
          </w:p>
        </w:tc>
        <w:tc>
          <w:tcPr>
            <w:tcW w:w="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vMerge w:val="restart"/>
          </w:tcPr>
          <w:p>
            <w:pPr>
              <w:jc w:val="right"/>
              <w:ind w:right="361"/>
              <w:spacing w:after="0"/>
              <w:rPr>
                <w:sz w:val="20"/>
                <w:szCs w:val="20"/>
                <w:color w:val="auto"/>
              </w:rPr>
            </w:pPr>
            <w:r>
              <w:rPr>
                <w:rFonts w:ascii="Times New Roman" w:cs="Times New Roman" w:eastAsia="Times New Roman" w:hAnsi="Times New Roman"/>
                <w:sz w:val="10"/>
                <w:szCs w:val="10"/>
                <w:b w:val="1"/>
                <w:bCs w:val="1"/>
                <w:color w:val="auto"/>
              </w:rPr>
              <w:t>2024</w:t>
            </w: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38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0"/>
                <w:szCs w:val="10"/>
                <w:b w:val="1"/>
                <w:bCs w:val="1"/>
                <w:color w:val="auto"/>
              </w:rPr>
              <w:t>(in functional currency)'000</w:t>
            </w:r>
          </w:p>
        </w:tc>
        <w:tc>
          <w:tcPr>
            <w:tcW w:w="60" w:type="dxa"/>
            <w:vAlign w:val="bottom"/>
            <w:tcBorders>
              <w:bottom w:val="single" w:sz="8" w:color="auto"/>
            </w:tcBorders>
          </w:tcPr>
          <w:p>
            <w:pPr>
              <w:spacing w:after="0"/>
              <w:rPr>
                <w:sz w:val="10"/>
                <w:szCs w:val="10"/>
                <w:color w:val="auto"/>
              </w:rPr>
            </w:pPr>
          </w:p>
        </w:tc>
        <w:tc>
          <w:tcPr>
            <w:tcW w:w="20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0"/>
                <w:szCs w:val="10"/>
                <w:b w:val="1"/>
                <w:bCs w:val="1"/>
                <w:color w:val="auto"/>
              </w:rPr>
              <w:t>Fav/(Unfav)‎</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0"/>
                <w:szCs w:val="10"/>
                <w:b w:val="1"/>
                <w:bCs w:val="1"/>
                <w:color w:val="auto"/>
                <w:w w:val="96"/>
              </w:rPr>
              <w:t>Fav/(Unfav)‎</w:t>
            </w: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38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United States</w:t>
            </w:r>
          </w:p>
        </w:tc>
        <w:tc>
          <w:tcPr>
            <w:tcW w:w="2140" w:type="dxa"/>
            <w:vAlign w:val="bottom"/>
            <w:gridSpan w:val="2"/>
            <w:shd w:val="clear" w:color="auto" w:fill="CCEEFF"/>
          </w:tcPr>
          <w:p>
            <w:pPr>
              <w:ind w:left="60"/>
              <w:spacing w:after="0" w:line="130" w:lineRule="exact"/>
              <w:rPr>
                <w:sz w:val="20"/>
                <w:szCs w:val="20"/>
                <w:color w:val="auto"/>
              </w:rPr>
            </w:pPr>
            <w:r>
              <w:rPr>
                <w:rFonts w:ascii="Times New Roman" w:cs="Times New Roman" w:eastAsia="Times New Roman" w:hAnsi="Times New Roman"/>
                <w:sz w:val="12"/>
                <w:szCs w:val="12"/>
                <w:color w:val="auto"/>
              </w:rPr>
              <w:t>Net Operating Income</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60"/>
              <w:spacing w:after="0" w:line="130" w:lineRule="exact"/>
              <w:rPr>
                <w:sz w:val="20"/>
                <w:szCs w:val="20"/>
                <w:color w:val="auto"/>
              </w:rPr>
            </w:pPr>
            <w:r>
              <w:rPr>
                <w:rFonts w:ascii="Times New Roman" w:cs="Times New Roman" w:eastAsia="Times New Roman" w:hAnsi="Times New Roman"/>
                <w:sz w:val="12"/>
                <w:szCs w:val="12"/>
                <w:color w:val="auto"/>
              </w:rPr>
              <w:t>(334)</w:t>
            </w: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60"/>
              <w:spacing w:after="0" w:line="130" w:lineRule="exact"/>
              <w:rPr>
                <w:sz w:val="20"/>
                <w:szCs w:val="20"/>
                <w:color w:val="auto"/>
              </w:rPr>
            </w:pPr>
            <w:r>
              <w:rPr>
                <w:rFonts w:ascii="Times New Roman" w:cs="Times New Roman" w:eastAsia="Times New Roman" w:hAnsi="Times New Roman"/>
                <w:sz w:val="12"/>
                <w:szCs w:val="12"/>
                <w:color w:val="auto"/>
              </w:rPr>
              <w:t>(247)</w:t>
            </w:r>
          </w:p>
        </w:tc>
        <w:tc>
          <w:tcPr>
            <w:tcW w:w="320" w:type="dxa"/>
            <w:vAlign w:val="bottom"/>
            <w:shd w:val="clear" w:color="auto" w:fill="CCEEFF"/>
          </w:tcPr>
          <w:p>
            <w:pPr>
              <w:spacing w:after="0"/>
              <w:rPr>
                <w:sz w:val="11"/>
                <w:szCs w:val="11"/>
                <w:color w:val="auto"/>
              </w:rPr>
            </w:pPr>
          </w:p>
        </w:tc>
        <w:tc>
          <w:tcPr>
            <w:tcW w:w="1360" w:type="dxa"/>
            <w:vAlign w:val="bottom"/>
            <w:shd w:val="clear" w:color="auto" w:fill="CCEEFF"/>
          </w:tcPr>
          <w:p>
            <w:pPr>
              <w:jc w:val="right"/>
              <w:ind w:right="581"/>
              <w:spacing w:after="0" w:line="130" w:lineRule="exact"/>
              <w:rPr>
                <w:sz w:val="20"/>
                <w:szCs w:val="20"/>
                <w:color w:val="auto"/>
              </w:rPr>
            </w:pPr>
            <w:r>
              <w:rPr>
                <w:rFonts w:ascii="Times New Roman" w:cs="Times New Roman" w:eastAsia="Times New Roman" w:hAnsi="Times New Roman"/>
                <w:sz w:val="12"/>
                <w:szCs w:val="12"/>
                <w:color w:val="auto"/>
              </w:rPr>
              <w:t>(35.5)%</w:t>
            </w:r>
          </w:p>
        </w:tc>
        <w:tc>
          <w:tcPr>
            <w:tcW w:w="220" w:type="dxa"/>
            <w:vAlign w:val="bottom"/>
            <w:gridSpan w:val="2"/>
            <w:shd w:val="clear" w:color="auto" w:fill="CCEEFF"/>
          </w:tcPr>
          <w:p>
            <w:pPr>
              <w:jc w:val="right"/>
              <w:ind w:right="100"/>
              <w:spacing w:after="0" w:line="130"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0"/>
              <w:spacing w:after="0" w:line="130" w:lineRule="exact"/>
              <w:rPr>
                <w:sz w:val="20"/>
                <w:szCs w:val="20"/>
                <w:color w:val="auto"/>
              </w:rPr>
            </w:pPr>
            <w:r>
              <w:rPr>
                <w:rFonts w:ascii="Times New Roman" w:cs="Times New Roman" w:eastAsia="Times New Roman" w:hAnsi="Times New Roman"/>
                <w:sz w:val="12"/>
                <w:szCs w:val="12"/>
                <w:color w:val="auto"/>
              </w:rPr>
              <w:t>(755)</w:t>
            </w:r>
          </w:p>
        </w:tc>
        <w:tc>
          <w:tcPr>
            <w:tcW w:w="180" w:type="dxa"/>
            <w:vAlign w:val="bottom"/>
            <w:gridSpan w:val="2"/>
            <w:shd w:val="clear" w:color="auto" w:fill="CCEEFF"/>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60"/>
              <w:spacing w:after="0" w:line="130" w:lineRule="exact"/>
              <w:rPr>
                <w:sz w:val="20"/>
                <w:szCs w:val="20"/>
                <w:color w:val="auto"/>
              </w:rPr>
            </w:pPr>
            <w:r>
              <w:rPr>
                <w:rFonts w:ascii="Times New Roman" w:cs="Times New Roman" w:eastAsia="Times New Roman" w:hAnsi="Times New Roman"/>
                <w:sz w:val="12"/>
                <w:szCs w:val="12"/>
                <w:color w:val="auto"/>
              </w:rPr>
              <w:t>(1,100)</w:t>
            </w:r>
          </w:p>
        </w:tc>
        <w:tc>
          <w:tcPr>
            <w:tcW w:w="260" w:type="dxa"/>
            <w:vAlign w:val="bottom"/>
            <w:shd w:val="clear" w:color="auto" w:fill="CCEEFF"/>
          </w:tcPr>
          <w:p>
            <w:pPr>
              <w:spacing w:after="0"/>
              <w:rPr>
                <w:sz w:val="11"/>
                <w:szCs w:val="11"/>
                <w:color w:val="auto"/>
              </w:rPr>
            </w:pPr>
          </w:p>
        </w:tc>
        <w:tc>
          <w:tcPr>
            <w:tcW w:w="1400" w:type="dxa"/>
            <w:vAlign w:val="bottom"/>
            <w:shd w:val="clear" w:color="auto" w:fill="CCEEFF"/>
          </w:tcPr>
          <w:p>
            <w:pPr>
              <w:jc w:val="right"/>
              <w:ind w:right="621"/>
              <w:spacing w:after="0" w:line="130" w:lineRule="exact"/>
              <w:rPr>
                <w:sz w:val="20"/>
                <w:szCs w:val="20"/>
                <w:color w:val="auto"/>
              </w:rPr>
            </w:pPr>
            <w:r>
              <w:rPr>
                <w:rFonts w:ascii="Times New Roman" w:cs="Times New Roman" w:eastAsia="Times New Roman" w:hAnsi="Times New Roman"/>
                <w:sz w:val="12"/>
                <w:szCs w:val="12"/>
                <w:color w:val="auto"/>
              </w:rPr>
              <w:t>31.3%</w:t>
            </w:r>
          </w:p>
        </w:tc>
        <w:tc>
          <w:tcPr>
            <w:tcW w:w="0" w:type="dxa"/>
            <w:vAlign w:val="bottom"/>
          </w:tcPr>
          <w:p>
            <w:pPr>
              <w:spacing w:after="0"/>
              <w:rPr>
                <w:sz w:val="1"/>
                <w:szCs w:val="1"/>
                <w:color w:val="auto"/>
              </w:rPr>
            </w:pPr>
          </w:p>
        </w:tc>
      </w:tr>
      <w:tr>
        <w:trPr>
          <w:trHeight w:val="130"/>
        </w:trPr>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38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Australia</w:t>
            </w:r>
          </w:p>
        </w:tc>
        <w:tc>
          <w:tcPr>
            <w:tcW w:w="2140" w:type="dxa"/>
            <w:vAlign w:val="bottom"/>
            <w:gridSpan w:val="2"/>
            <w:shd w:val="clear" w:color="auto" w:fill="CCEEFF"/>
          </w:tcPr>
          <w:p>
            <w:pPr>
              <w:ind w:left="60"/>
              <w:spacing w:after="0" w:line="130" w:lineRule="exact"/>
              <w:rPr>
                <w:sz w:val="20"/>
                <w:szCs w:val="20"/>
                <w:color w:val="auto"/>
              </w:rPr>
            </w:pPr>
            <w:r>
              <w:rPr>
                <w:rFonts w:ascii="Times New Roman" w:cs="Times New Roman" w:eastAsia="Times New Roman" w:hAnsi="Times New Roman"/>
                <w:sz w:val="12"/>
                <w:szCs w:val="12"/>
                <w:color w:val="auto"/>
              </w:rPr>
              <w:t>Net Operating Income</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60"/>
              <w:spacing w:after="0" w:line="130" w:lineRule="exact"/>
              <w:rPr>
                <w:sz w:val="20"/>
                <w:szCs w:val="20"/>
                <w:color w:val="auto"/>
              </w:rPr>
            </w:pPr>
            <w:r>
              <w:rPr>
                <w:rFonts w:ascii="Times New Roman" w:cs="Times New Roman" w:eastAsia="Times New Roman" w:hAnsi="Times New Roman"/>
                <w:sz w:val="12"/>
                <w:szCs w:val="12"/>
                <w:color w:val="auto"/>
              </w:rPr>
              <w:t>414</w:t>
            </w: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60"/>
              <w:spacing w:after="0" w:line="130" w:lineRule="exact"/>
              <w:rPr>
                <w:sz w:val="20"/>
                <w:szCs w:val="20"/>
                <w:color w:val="auto"/>
              </w:rPr>
            </w:pPr>
            <w:r>
              <w:rPr>
                <w:rFonts w:ascii="Times New Roman" w:cs="Times New Roman" w:eastAsia="Times New Roman" w:hAnsi="Times New Roman"/>
                <w:sz w:val="12"/>
                <w:szCs w:val="12"/>
                <w:color w:val="auto"/>
              </w:rPr>
              <w:t>930</w:t>
            </w:r>
          </w:p>
        </w:tc>
        <w:tc>
          <w:tcPr>
            <w:tcW w:w="320" w:type="dxa"/>
            <w:vAlign w:val="bottom"/>
            <w:shd w:val="clear" w:color="auto" w:fill="CCEEFF"/>
          </w:tcPr>
          <w:p>
            <w:pPr>
              <w:spacing w:after="0"/>
              <w:rPr>
                <w:sz w:val="11"/>
                <w:szCs w:val="11"/>
                <w:color w:val="auto"/>
              </w:rPr>
            </w:pPr>
          </w:p>
        </w:tc>
        <w:tc>
          <w:tcPr>
            <w:tcW w:w="1360" w:type="dxa"/>
            <w:vAlign w:val="bottom"/>
            <w:shd w:val="clear" w:color="auto" w:fill="CCEEFF"/>
          </w:tcPr>
          <w:p>
            <w:pPr>
              <w:jc w:val="right"/>
              <w:ind w:right="581"/>
              <w:spacing w:after="0" w:line="130" w:lineRule="exact"/>
              <w:rPr>
                <w:sz w:val="20"/>
                <w:szCs w:val="20"/>
                <w:color w:val="auto"/>
              </w:rPr>
            </w:pPr>
            <w:r>
              <w:rPr>
                <w:rFonts w:ascii="Times New Roman" w:cs="Times New Roman" w:eastAsia="Times New Roman" w:hAnsi="Times New Roman"/>
                <w:sz w:val="12"/>
                <w:szCs w:val="12"/>
                <w:color w:val="auto"/>
              </w:rPr>
              <w:t>(55.5)%</w:t>
            </w:r>
          </w:p>
        </w:tc>
        <w:tc>
          <w:tcPr>
            <w:tcW w:w="220" w:type="dxa"/>
            <w:vAlign w:val="bottom"/>
            <w:gridSpan w:val="2"/>
            <w:shd w:val="clear" w:color="auto" w:fill="CCEEFF"/>
          </w:tcPr>
          <w:p>
            <w:pPr>
              <w:jc w:val="right"/>
              <w:ind w:right="100"/>
              <w:spacing w:after="0" w:line="130"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0"/>
              <w:spacing w:after="0" w:line="130" w:lineRule="exact"/>
              <w:rPr>
                <w:sz w:val="20"/>
                <w:szCs w:val="20"/>
                <w:color w:val="auto"/>
              </w:rPr>
            </w:pPr>
            <w:r>
              <w:rPr>
                <w:rFonts w:ascii="Times New Roman" w:cs="Times New Roman" w:eastAsia="Times New Roman" w:hAnsi="Times New Roman"/>
                <w:sz w:val="12"/>
                <w:szCs w:val="12"/>
                <w:color w:val="auto"/>
              </w:rPr>
              <w:t>2,154</w:t>
            </w:r>
          </w:p>
        </w:tc>
        <w:tc>
          <w:tcPr>
            <w:tcW w:w="180" w:type="dxa"/>
            <w:vAlign w:val="bottom"/>
            <w:gridSpan w:val="2"/>
            <w:shd w:val="clear" w:color="auto" w:fill="CCEEFF"/>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60"/>
              <w:spacing w:after="0" w:line="130" w:lineRule="exact"/>
              <w:rPr>
                <w:sz w:val="20"/>
                <w:szCs w:val="20"/>
                <w:color w:val="auto"/>
              </w:rPr>
            </w:pPr>
            <w:r>
              <w:rPr>
                <w:rFonts w:ascii="Times New Roman" w:cs="Times New Roman" w:eastAsia="Times New Roman" w:hAnsi="Times New Roman"/>
                <w:sz w:val="12"/>
                <w:szCs w:val="12"/>
                <w:color w:val="auto"/>
              </w:rPr>
              <w:t>2,401</w:t>
            </w:r>
          </w:p>
        </w:tc>
        <w:tc>
          <w:tcPr>
            <w:tcW w:w="260" w:type="dxa"/>
            <w:vAlign w:val="bottom"/>
            <w:shd w:val="clear" w:color="auto" w:fill="CCEEFF"/>
          </w:tcPr>
          <w:p>
            <w:pPr>
              <w:spacing w:after="0"/>
              <w:rPr>
                <w:sz w:val="11"/>
                <w:szCs w:val="11"/>
                <w:color w:val="auto"/>
              </w:rPr>
            </w:pPr>
          </w:p>
        </w:tc>
        <w:tc>
          <w:tcPr>
            <w:tcW w:w="1400" w:type="dxa"/>
            <w:vAlign w:val="bottom"/>
            <w:shd w:val="clear" w:color="auto" w:fill="CCEEFF"/>
          </w:tcPr>
          <w:p>
            <w:pPr>
              <w:jc w:val="right"/>
              <w:ind w:right="561"/>
              <w:spacing w:after="0" w:line="130" w:lineRule="exact"/>
              <w:rPr>
                <w:sz w:val="20"/>
                <w:szCs w:val="20"/>
                <w:color w:val="auto"/>
              </w:rPr>
            </w:pPr>
            <w:r>
              <w:rPr>
                <w:rFonts w:ascii="Times New Roman" w:cs="Times New Roman" w:eastAsia="Times New Roman" w:hAnsi="Times New Roman"/>
                <w:sz w:val="12"/>
                <w:szCs w:val="12"/>
                <w:color w:val="auto"/>
              </w:rPr>
              <w:t>(10.3)%</w:t>
            </w:r>
          </w:p>
        </w:tc>
        <w:tc>
          <w:tcPr>
            <w:tcW w:w="0" w:type="dxa"/>
            <w:vAlign w:val="bottom"/>
          </w:tcPr>
          <w:p>
            <w:pPr>
              <w:spacing w:after="0"/>
              <w:rPr>
                <w:sz w:val="1"/>
                <w:szCs w:val="1"/>
                <w:color w:val="auto"/>
              </w:rPr>
            </w:pPr>
          </w:p>
        </w:tc>
      </w:tr>
      <w:tr>
        <w:trPr>
          <w:trHeight w:val="130"/>
        </w:trPr>
        <w:tc>
          <w:tcPr>
            <w:tcW w:w="1380" w:type="dxa"/>
            <w:vAlign w:val="bottom"/>
          </w:tcPr>
          <w:p>
            <w:pPr>
              <w:spacing w:after="0"/>
              <w:rPr>
                <w:sz w:val="11"/>
                <w:szCs w:val="11"/>
                <w:color w:val="auto"/>
              </w:rPr>
            </w:pPr>
          </w:p>
        </w:tc>
        <w:tc>
          <w:tcPr>
            <w:tcW w:w="214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2"/>
                <w:szCs w:val="12"/>
                <w:color w:val="auto"/>
              </w:rPr>
              <w:t>Occupancy Factor</w:t>
            </w:r>
          </w:p>
        </w:tc>
        <w:tc>
          <w:tcPr>
            <w:tcW w:w="180" w:type="dxa"/>
            <w:vAlign w:val="bottom"/>
          </w:tcPr>
          <w:p>
            <w:pPr>
              <w:spacing w:after="0"/>
              <w:rPr>
                <w:sz w:val="11"/>
                <w:szCs w:val="11"/>
                <w:color w:val="auto"/>
              </w:rPr>
            </w:pPr>
          </w:p>
        </w:tc>
        <w:tc>
          <w:tcPr>
            <w:tcW w:w="840" w:type="dxa"/>
            <w:vAlign w:val="bottom"/>
          </w:tcPr>
          <w:p>
            <w:pPr>
              <w:jc w:val="right"/>
              <w:ind w:right="221"/>
              <w:spacing w:after="0" w:line="130" w:lineRule="exact"/>
              <w:rPr>
                <w:sz w:val="20"/>
                <w:szCs w:val="20"/>
                <w:color w:val="auto"/>
              </w:rPr>
            </w:pPr>
            <w:r>
              <w:rPr>
                <w:rFonts w:ascii="Times New Roman" w:cs="Times New Roman" w:eastAsia="Times New Roman" w:hAnsi="Times New Roman"/>
                <w:sz w:val="12"/>
                <w:szCs w:val="12"/>
                <w:color w:val="auto"/>
              </w:rPr>
              <w:t>98.3%</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ind w:right="221"/>
              <w:spacing w:after="0" w:line="130" w:lineRule="exact"/>
              <w:rPr>
                <w:sz w:val="20"/>
                <w:szCs w:val="20"/>
                <w:color w:val="auto"/>
              </w:rPr>
            </w:pPr>
            <w:r>
              <w:rPr>
                <w:rFonts w:ascii="Times New Roman" w:cs="Times New Roman" w:eastAsia="Times New Roman" w:hAnsi="Times New Roman"/>
                <w:sz w:val="12"/>
                <w:szCs w:val="12"/>
                <w:color w:val="auto"/>
              </w:rPr>
              <w:t>95.0%</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jc w:val="right"/>
              <w:ind w:right="421"/>
              <w:spacing w:after="0" w:line="130" w:lineRule="exact"/>
              <w:rPr>
                <w:sz w:val="20"/>
                <w:szCs w:val="20"/>
                <w:color w:val="auto"/>
              </w:rPr>
            </w:pPr>
            <w:r>
              <w:rPr>
                <w:rFonts w:ascii="Times New Roman" w:cs="Times New Roman" w:eastAsia="Times New Roman" w:hAnsi="Times New Roman"/>
                <w:sz w:val="12"/>
                <w:szCs w:val="12"/>
                <w:color w:val="auto"/>
              </w:rPr>
              <w:t>3.3 %age points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auto"/>
              </w:rPr>
              <w:t>98.3%</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auto"/>
              </w:rPr>
              <w:t>95.0%</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right"/>
              <w:ind w:right="441"/>
              <w:spacing w:after="0" w:line="130" w:lineRule="exact"/>
              <w:rPr>
                <w:sz w:val="20"/>
                <w:szCs w:val="20"/>
                <w:color w:val="auto"/>
              </w:rPr>
            </w:pPr>
            <w:r>
              <w:rPr>
                <w:rFonts w:ascii="Times New Roman" w:cs="Times New Roman" w:eastAsia="Times New Roman" w:hAnsi="Times New Roman"/>
                <w:sz w:val="12"/>
                <w:szCs w:val="12"/>
                <w:color w:val="auto"/>
              </w:rPr>
              <w:t>3.3 %age points</w:t>
            </w:r>
          </w:p>
        </w:tc>
        <w:tc>
          <w:tcPr>
            <w:tcW w:w="0" w:type="dxa"/>
            <w:vAlign w:val="bottom"/>
          </w:tcPr>
          <w:p>
            <w:pPr>
              <w:spacing w:after="0"/>
              <w:rPr>
                <w:sz w:val="1"/>
                <w:szCs w:val="1"/>
                <w:color w:val="auto"/>
              </w:rPr>
            </w:pPr>
          </w:p>
        </w:tc>
      </w:tr>
      <w:tr>
        <w:trPr>
          <w:trHeight w:val="130"/>
        </w:trPr>
        <w:tc>
          <w:tcPr>
            <w:tcW w:w="13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60"/>
              <w:spacing w:after="0" w:line="130" w:lineRule="exact"/>
              <w:rPr>
                <w:sz w:val="20"/>
                <w:szCs w:val="20"/>
                <w:color w:val="auto"/>
              </w:rPr>
            </w:pPr>
            <w:r>
              <w:rPr>
                <w:rFonts w:ascii="Times New Roman" w:cs="Times New Roman" w:eastAsia="Times New Roman" w:hAnsi="Times New Roman"/>
                <w:sz w:val="12"/>
                <w:szCs w:val="12"/>
                <w:color w:val="auto"/>
              </w:rPr>
              <w:t>Average Lease Duration</w:t>
            </w: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0" w:lineRule="exact"/>
              <w:rPr>
                <w:sz w:val="20"/>
                <w:szCs w:val="20"/>
                <w:color w:val="auto"/>
              </w:rPr>
            </w:pPr>
            <w:r>
              <w:rPr>
                <w:rFonts w:ascii="Times New Roman" w:cs="Times New Roman" w:eastAsia="Times New Roman" w:hAnsi="Times New Roman"/>
                <w:sz w:val="12"/>
                <w:szCs w:val="12"/>
                <w:color w:val="auto"/>
              </w:rPr>
              <w:t>3.74 Years</w:t>
            </w:r>
          </w:p>
        </w:tc>
        <w:tc>
          <w:tcPr>
            <w:tcW w:w="30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ind w:left="20"/>
              <w:spacing w:after="0" w:line="130" w:lineRule="exact"/>
              <w:rPr>
                <w:sz w:val="20"/>
                <w:szCs w:val="20"/>
                <w:color w:val="auto"/>
              </w:rPr>
            </w:pPr>
            <w:r>
              <w:rPr>
                <w:rFonts w:ascii="Times New Roman" w:cs="Times New Roman" w:eastAsia="Times New Roman" w:hAnsi="Times New Roman"/>
                <w:sz w:val="12"/>
                <w:szCs w:val="12"/>
                <w:color w:val="auto"/>
              </w:rPr>
              <w:t>2.96 Years</w:t>
            </w:r>
          </w:p>
        </w:tc>
        <w:tc>
          <w:tcPr>
            <w:tcW w:w="1360" w:type="dxa"/>
            <w:vAlign w:val="bottom"/>
            <w:shd w:val="clear" w:color="auto" w:fill="CCEEFF"/>
          </w:tcPr>
          <w:p>
            <w:pPr>
              <w:jc w:val="center"/>
              <w:ind w:right="281"/>
              <w:spacing w:after="0" w:line="130" w:lineRule="exact"/>
              <w:rPr>
                <w:sz w:val="20"/>
                <w:szCs w:val="20"/>
                <w:color w:val="auto"/>
              </w:rPr>
            </w:pPr>
            <w:r>
              <w:rPr>
                <w:rFonts w:ascii="Times New Roman" w:cs="Times New Roman" w:eastAsia="Times New Roman" w:hAnsi="Times New Roman"/>
                <w:sz w:val="12"/>
                <w:szCs w:val="12"/>
                <w:color w:val="auto"/>
              </w:rPr>
              <w:t>0.78 years</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right="20"/>
              <w:spacing w:after="0" w:line="130" w:lineRule="exact"/>
              <w:rPr>
                <w:sz w:val="20"/>
                <w:szCs w:val="20"/>
                <w:color w:val="auto"/>
              </w:rPr>
            </w:pPr>
            <w:r>
              <w:rPr>
                <w:rFonts w:ascii="Times New Roman" w:cs="Times New Roman" w:eastAsia="Times New Roman" w:hAnsi="Times New Roman"/>
                <w:sz w:val="12"/>
                <w:szCs w:val="12"/>
                <w:color w:val="auto"/>
                <w:w w:val="99"/>
              </w:rPr>
              <w:t>3.74 Years</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3"/>
            <w:shd w:val="clear" w:color="auto" w:fill="CCEEFF"/>
          </w:tcPr>
          <w:p>
            <w:pPr>
              <w:jc w:val="center"/>
              <w:ind w:right="340"/>
              <w:spacing w:after="0" w:line="130" w:lineRule="exact"/>
              <w:rPr>
                <w:sz w:val="20"/>
                <w:szCs w:val="20"/>
                <w:color w:val="auto"/>
              </w:rPr>
            </w:pPr>
            <w:r>
              <w:rPr>
                <w:rFonts w:ascii="Times New Roman" w:cs="Times New Roman" w:eastAsia="Times New Roman" w:hAnsi="Times New Roman"/>
                <w:sz w:val="12"/>
                <w:szCs w:val="12"/>
                <w:color w:val="auto"/>
                <w:w w:val="99"/>
              </w:rPr>
              <w:t>2.96 Years</w:t>
            </w:r>
          </w:p>
        </w:tc>
        <w:tc>
          <w:tcPr>
            <w:tcW w:w="1400" w:type="dxa"/>
            <w:vAlign w:val="bottom"/>
            <w:shd w:val="clear" w:color="auto" w:fill="CCEEFF"/>
          </w:tcPr>
          <w:p>
            <w:pPr>
              <w:jc w:val="center"/>
              <w:ind w:right="201"/>
              <w:spacing w:after="0" w:line="130" w:lineRule="exact"/>
              <w:rPr>
                <w:sz w:val="20"/>
                <w:szCs w:val="20"/>
                <w:color w:val="auto"/>
              </w:rPr>
            </w:pPr>
            <w:r>
              <w:rPr>
                <w:rFonts w:ascii="Times New Roman" w:cs="Times New Roman" w:eastAsia="Times New Roman" w:hAnsi="Times New Roman"/>
                <w:sz w:val="12"/>
                <w:szCs w:val="12"/>
                <w:color w:val="auto"/>
              </w:rPr>
              <w:t>0.78 years</w:t>
            </w:r>
          </w:p>
        </w:tc>
        <w:tc>
          <w:tcPr>
            <w:tcW w:w="0" w:type="dxa"/>
            <w:vAlign w:val="bottom"/>
          </w:tcPr>
          <w:p>
            <w:pPr>
              <w:spacing w:after="0"/>
              <w:rPr>
                <w:sz w:val="1"/>
                <w:szCs w:val="1"/>
                <w:color w:val="auto"/>
              </w:rPr>
            </w:pPr>
          </w:p>
        </w:tc>
      </w:tr>
      <w:tr>
        <w:trPr>
          <w:trHeight w:val="130"/>
        </w:trPr>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38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New Zealand</w:t>
            </w:r>
          </w:p>
        </w:tc>
        <w:tc>
          <w:tcPr>
            <w:tcW w:w="2140" w:type="dxa"/>
            <w:vAlign w:val="bottom"/>
            <w:gridSpan w:val="2"/>
            <w:shd w:val="clear" w:color="auto" w:fill="CCEEFF"/>
          </w:tcPr>
          <w:p>
            <w:pPr>
              <w:ind w:left="60"/>
              <w:spacing w:after="0" w:line="130" w:lineRule="exact"/>
              <w:rPr>
                <w:sz w:val="20"/>
                <w:szCs w:val="20"/>
                <w:color w:val="auto"/>
              </w:rPr>
            </w:pPr>
            <w:r>
              <w:rPr>
                <w:rFonts w:ascii="Times New Roman" w:cs="Times New Roman" w:eastAsia="Times New Roman" w:hAnsi="Times New Roman"/>
                <w:sz w:val="12"/>
                <w:szCs w:val="12"/>
                <w:color w:val="auto"/>
              </w:rPr>
              <w:t>Net Operating Income</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60"/>
              <w:spacing w:after="0" w:line="130" w:lineRule="exact"/>
              <w:rPr>
                <w:sz w:val="20"/>
                <w:szCs w:val="20"/>
                <w:color w:val="auto"/>
              </w:rPr>
            </w:pPr>
            <w:r>
              <w:rPr>
                <w:rFonts w:ascii="Times New Roman" w:cs="Times New Roman" w:eastAsia="Times New Roman" w:hAnsi="Times New Roman"/>
                <w:sz w:val="12"/>
                <w:szCs w:val="12"/>
                <w:color w:val="auto"/>
              </w:rPr>
              <w:t>(150)</w:t>
            </w: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60"/>
              <w:spacing w:after="0" w:line="130" w:lineRule="exact"/>
              <w:rPr>
                <w:sz w:val="20"/>
                <w:szCs w:val="20"/>
                <w:color w:val="auto"/>
              </w:rPr>
            </w:pPr>
            <w:r>
              <w:rPr>
                <w:rFonts w:ascii="Times New Roman" w:cs="Times New Roman" w:eastAsia="Times New Roman" w:hAnsi="Times New Roman"/>
                <w:sz w:val="12"/>
                <w:szCs w:val="12"/>
                <w:color w:val="auto"/>
              </w:rPr>
              <w:t>(520)</w:t>
            </w:r>
          </w:p>
        </w:tc>
        <w:tc>
          <w:tcPr>
            <w:tcW w:w="320" w:type="dxa"/>
            <w:vAlign w:val="bottom"/>
            <w:shd w:val="clear" w:color="auto" w:fill="CCEEFF"/>
          </w:tcPr>
          <w:p>
            <w:pPr>
              <w:spacing w:after="0"/>
              <w:rPr>
                <w:sz w:val="11"/>
                <w:szCs w:val="11"/>
                <w:color w:val="auto"/>
              </w:rPr>
            </w:pPr>
          </w:p>
        </w:tc>
        <w:tc>
          <w:tcPr>
            <w:tcW w:w="1360" w:type="dxa"/>
            <w:vAlign w:val="bottom"/>
            <w:shd w:val="clear" w:color="auto" w:fill="CCEEFF"/>
          </w:tcPr>
          <w:p>
            <w:pPr>
              <w:jc w:val="right"/>
              <w:ind w:right="621"/>
              <w:spacing w:after="0" w:line="130" w:lineRule="exact"/>
              <w:rPr>
                <w:sz w:val="20"/>
                <w:szCs w:val="20"/>
                <w:color w:val="auto"/>
              </w:rPr>
            </w:pPr>
            <w:r>
              <w:rPr>
                <w:rFonts w:ascii="Times New Roman" w:cs="Times New Roman" w:eastAsia="Times New Roman" w:hAnsi="Times New Roman"/>
                <w:sz w:val="12"/>
                <w:szCs w:val="12"/>
                <w:color w:val="auto"/>
              </w:rPr>
              <w:t>71.1%</w:t>
            </w:r>
          </w:p>
        </w:tc>
        <w:tc>
          <w:tcPr>
            <w:tcW w:w="220" w:type="dxa"/>
            <w:vAlign w:val="bottom"/>
            <w:gridSpan w:val="2"/>
            <w:shd w:val="clear" w:color="auto" w:fill="CCEEFF"/>
          </w:tcPr>
          <w:p>
            <w:pPr>
              <w:jc w:val="right"/>
              <w:ind w:right="100"/>
              <w:spacing w:after="0" w:line="130"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0"/>
              <w:spacing w:after="0" w:line="130" w:lineRule="exact"/>
              <w:rPr>
                <w:sz w:val="20"/>
                <w:szCs w:val="20"/>
                <w:color w:val="auto"/>
              </w:rPr>
            </w:pPr>
            <w:r>
              <w:rPr>
                <w:rFonts w:ascii="Times New Roman" w:cs="Times New Roman" w:eastAsia="Times New Roman" w:hAnsi="Times New Roman"/>
                <w:sz w:val="12"/>
                <w:szCs w:val="12"/>
                <w:color w:val="auto"/>
              </w:rPr>
              <w:t>(834)</w:t>
            </w:r>
          </w:p>
        </w:tc>
        <w:tc>
          <w:tcPr>
            <w:tcW w:w="180" w:type="dxa"/>
            <w:vAlign w:val="bottom"/>
            <w:gridSpan w:val="2"/>
            <w:shd w:val="clear" w:color="auto" w:fill="CCEEFF"/>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60"/>
              <w:spacing w:after="0" w:line="130" w:lineRule="exact"/>
              <w:rPr>
                <w:sz w:val="20"/>
                <w:szCs w:val="20"/>
                <w:color w:val="auto"/>
              </w:rPr>
            </w:pPr>
            <w:r>
              <w:rPr>
                <w:rFonts w:ascii="Times New Roman" w:cs="Times New Roman" w:eastAsia="Times New Roman" w:hAnsi="Times New Roman"/>
                <w:sz w:val="12"/>
                <w:szCs w:val="12"/>
                <w:color w:val="auto"/>
              </w:rPr>
              <w:t>(1,933)</w:t>
            </w:r>
          </w:p>
        </w:tc>
        <w:tc>
          <w:tcPr>
            <w:tcW w:w="260" w:type="dxa"/>
            <w:vAlign w:val="bottom"/>
            <w:shd w:val="clear" w:color="auto" w:fill="CCEEFF"/>
          </w:tcPr>
          <w:p>
            <w:pPr>
              <w:spacing w:after="0"/>
              <w:rPr>
                <w:sz w:val="11"/>
                <w:szCs w:val="11"/>
                <w:color w:val="auto"/>
              </w:rPr>
            </w:pPr>
          </w:p>
        </w:tc>
        <w:tc>
          <w:tcPr>
            <w:tcW w:w="1400" w:type="dxa"/>
            <w:vAlign w:val="bottom"/>
            <w:shd w:val="clear" w:color="auto" w:fill="CCEEFF"/>
          </w:tcPr>
          <w:p>
            <w:pPr>
              <w:jc w:val="right"/>
              <w:ind w:right="621"/>
              <w:spacing w:after="0" w:line="130" w:lineRule="exact"/>
              <w:rPr>
                <w:sz w:val="20"/>
                <w:szCs w:val="20"/>
                <w:color w:val="auto"/>
              </w:rPr>
            </w:pPr>
            <w:r>
              <w:rPr>
                <w:rFonts w:ascii="Times New Roman" w:cs="Times New Roman" w:eastAsia="Times New Roman" w:hAnsi="Times New Roman"/>
                <w:sz w:val="12"/>
                <w:szCs w:val="12"/>
                <w:color w:val="auto"/>
              </w:rPr>
              <w:t>56.8%</w:t>
            </w:r>
          </w:p>
        </w:tc>
        <w:tc>
          <w:tcPr>
            <w:tcW w:w="0" w:type="dxa"/>
            <w:vAlign w:val="bottom"/>
          </w:tcPr>
          <w:p>
            <w:pPr>
              <w:spacing w:after="0"/>
              <w:rPr>
                <w:sz w:val="1"/>
                <w:szCs w:val="1"/>
                <w:color w:val="auto"/>
              </w:rPr>
            </w:pPr>
          </w:p>
        </w:tc>
      </w:tr>
      <w:tr>
        <w:trPr>
          <w:trHeight w:val="130"/>
        </w:trPr>
        <w:tc>
          <w:tcPr>
            <w:tcW w:w="1380" w:type="dxa"/>
            <w:vAlign w:val="bottom"/>
          </w:tcPr>
          <w:p>
            <w:pPr>
              <w:spacing w:after="0"/>
              <w:rPr>
                <w:sz w:val="11"/>
                <w:szCs w:val="11"/>
                <w:color w:val="auto"/>
              </w:rPr>
            </w:pPr>
          </w:p>
        </w:tc>
        <w:tc>
          <w:tcPr>
            <w:tcW w:w="214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2"/>
                <w:szCs w:val="12"/>
                <w:color w:val="auto"/>
              </w:rPr>
              <w:t>Occupancy Factor</w:t>
            </w:r>
          </w:p>
        </w:tc>
        <w:tc>
          <w:tcPr>
            <w:tcW w:w="180" w:type="dxa"/>
            <w:vAlign w:val="bottom"/>
          </w:tcPr>
          <w:p>
            <w:pPr>
              <w:spacing w:after="0"/>
              <w:rPr>
                <w:sz w:val="11"/>
                <w:szCs w:val="11"/>
                <w:color w:val="auto"/>
              </w:rPr>
            </w:pPr>
          </w:p>
        </w:tc>
        <w:tc>
          <w:tcPr>
            <w:tcW w:w="840" w:type="dxa"/>
            <w:vAlign w:val="bottom"/>
          </w:tcPr>
          <w:p>
            <w:pPr>
              <w:jc w:val="right"/>
              <w:ind w:right="241"/>
              <w:spacing w:after="0" w:line="130" w:lineRule="exact"/>
              <w:rPr>
                <w:sz w:val="20"/>
                <w:szCs w:val="20"/>
                <w:color w:val="auto"/>
              </w:rPr>
            </w:pPr>
            <w:r>
              <w:rPr>
                <w:rFonts w:ascii="Times New Roman" w:cs="Times New Roman" w:eastAsia="Times New Roman" w:hAnsi="Times New Roman"/>
                <w:sz w:val="12"/>
                <w:szCs w:val="12"/>
                <w:color w:val="auto"/>
              </w:rPr>
              <w:t>100%</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ind w:right="241"/>
              <w:spacing w:after="0" w:line="130" w:lineRule="exact"/>
              <w:rPr>
                <w:sz w:val="20"/>
                <w:szCs w:val="20"/>
                <w:color w:val="auto"/>
              </w:rPr>
            </w:pPr>
            <w:r>
              <w:rPr>
                <w:rFonts w:ascii="Times New Roman" w:cs="Times New Roman" w:eastAsia="Times New Roman" w:hAnsi="Times New Roman"/>
                <w:sz w:val="12"/>
                <w:szCs w:val="12"/>
                <w:color w:val="auto"/>
              </w:rPr>
              <w:t>100%</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jc w:val="center"/>
              <w:ind w:right="241"/>
              <w:spacing w:after="0" w:line="130" w:lineRule="exact"/>
              <w:rPr>
                <w:sz w:val="20"/>
                <w:szCs w:val="20"/>
                <w:color w:val="auto"/>
              </w:rPr>
            </w:pPr>
            <w:r>
              <w:rPr>
                <w:rFonts w:ascii="Times New Roman" w:cs="Times New Roman" w:eastAsia="Times New Roman" w:hAnsi="Times New Roman"/>
                <w:sz w:val="12"/>
                <w:szCs w:val="12"/>
                <w:color w:val="auto"/>
              </w:rPr>
              <w:t>- %age points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461"/>
              <w:spacing w:after="0" w:line="130" w:lineRule="exact"/>
              <w:rPr>
                <w:sz w:val="20"/>
                <w:szCs w:val="20"/>
                <w:color w:val="auto"/>
              </w:rPr>
            </w:pPr>
            <w:r>
              <w:rPr>
                <w:rFonts w:ascii="Times New Roman" w:cs="Times New Roman" w:eastAsia="Times New Roman" w:hAnsi="Times New Roman"/>
                <w:sz w:val="12"/>
                <w:szCs w:val="12"/>
                <w:color w:val="auto"/>
              </w:rPr>
              <w:t>100%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461"/>
              <w:spacing w:after="0" w:line="130" w:lineRule="exact"/>
              <w:rPr>
                <w:sz w:val="20"/>
                <w:szCs w:val="20"/>
                <w:color w:val="auto"/>
              </w:rPr>
            </w:pPr>
            <w:r>
              <w:rPr>
                <w:rFonts w:ascii="Times New Roman" w:cs="Times New Roman" w:eastAsia="Times New Roman" w:hAnsi="Times New Roman"/>
                <w:sz w:val="12"/>
                <w:szCs w:val="12"/>
                <w:color w:val="auto"/>
              </w:rPr>
              <w:t>100%</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center"/>
              <w:ind w:right="241"/>
              <w:spacing w:after="0" w:line="130" w:lineRule="exact"/>
              <w:rPr>
                <w:sz w:val="20"/>
                <w:szCs w:val="20"/>
                <w:color w:val="auto"/>
              </w:rPr>
            </w:pPr>
            <w:r>
              <w:rPr>
                <w:rFonts w:ascii="Times New Roman" w:cs="Times New Roman" w:eastAsia="Times New Roman" w:hAnsi="Times New Roman"/>
                <w:sz w:val="12"/>
                <w:szCs w:val="12"/>
                <w:color w:val="auto"/>
              </w:rPr>
              <w:t>- %age points</w:t>
            </w:r>
          </w:p>
        </w:tc>
        <w:tc>
          <w:tcPr>
            <w:tcW w:w="0" w:type="dxa"/>
            <w:vAlign w:val="bottom"/>
          </w:tcPr>
          <w:p>
            <w:pPr>
              <w:spacing w:after="0"/>
              <w:rPr>
                <w:sz w:val="1"/>
                <w:szCs w:val="1"/>
                <w:color w:val="auto"/>
              </w:rPr>
            </w:pPr>
          </w:p>
        </w:tc>
      </w:tr>
      <w:tr>
        <w:trPr>
          <w:trHeight w:val="130"/>
        </w:trPr>
        <w:tc>
          <w:tcPr>
            <w:tcW w:w="13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60"/>
              <w:spacing w:after="0" w:line="130" w:lineRule="exact"/>
              <w:rPr>
                <w:sz w:val="20"/>
                <w:szCs w:val="20"/>
                <w:color w:val="auto"/>
              </w:rPr>
            </w:pPr>
            <w:r>
              <w:rPr>
                <w:rFonts w:ascii="Times New Roman" w:cs="Times New Roman" w:eastAsia="Times New Roman" w:hAnsi="Times New Roman"/>
                <w:sz w:val="12"/>
                <w:szCs w:val="12"/>
                <w:color w:val="auto"/>
              </w:rPr>
              <w:t>Average Lease Duration</w:t>
            </w: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0" w:lineRule="exact"/>
              <w:rPr>
                <w:sz w:val="20"/>
                <w:szCs w:val="20"/>
                <w:color w:val="auto"/>
              </w:rPr>
            </w:pPr>
            <w:r>
              <w:rPr>
                <w:rFonts w:ascii="Times New Roman" w:cs="Times New Roman" w:eastAsia="Times New Roman" w:hAnsi="Times New Roman"/>
                <w:sz w:val="12"/>
                <w:szCs w:val="12"/>
                <w:color w:val="auto"/>
              </w:rPr>
              <w:t>0.33 Years</w:t>
            </w:r>
          </w:p>
        </w:tc>
        <w:tc>
          <w:tcPr>
            <w:tcW w:w="30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ind w:left="20"/>
              <w:spacing w:after="0" w:line="130" w:lineRule="exact"/>
              <w:rPr>
                <w:sz w:val="20"/>
                <w:szCs w:val="20"/>
                <w:color w:val="auto"/>
              </w:rPr>
            </w:pPr>
            <w:r>
              <w:rPr>
                <w:rFonts w:ascii="Times New Roman" w:cs="Times New Roman" w:eastAsia="Times New Roman" w:hAnsi="Times New Roman"/>
                <w:sz w:val="12"/>
                <w:szCs w:val="12"/>
                <w:color w:val="auto"/>
              </w:rPr>
              <w:t>0.87 Years</w:t>
            </w:r>
          </w:p>
        </w:tc>
        <w:tc>
          <w:tcPr>
            <w:tcW w:w="1360" w:type="dxa"/>
            <w:vAlign w:val="bottom"/>
            <w:shd w:val="clear" w:color="auto" w:fill="CCEEFF"/>
          </w:tcPr>
          <w:p>
            <w:pPr>
              <w:jc w:val="center"/>
              <w:ind w:right="261"/>
              <w:spacing w:after="0" w:line="130" w:lineRule="exact"/>
              <w:rPr>
                <w:sz w:val="20"/>
                <w:szCs w:val="20"/>
                <w:color w:val="auto"/>
              </w:rPr>
            </w:pPr>
            <w:r>
              <w:rPr>
                <w:rFonts w:ascii="Times New Roman" w:cs="Times New Roman" w:eastAsia="Times New Roman" w:hAnsi="Times New Roman"/>
                <w:sz w:val="12"/>
                <w:szCs w:val="12"/>
                <w:color w:val="auto"/>
              </w:rPr>
              <w:t>(0.54) years</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right="20"/>
              <w:spacing w:after="0" w:line="130" w:lineRule="exact"/>
              <w:rPr>
                <w:sz w:val="20"/>
                <w:szCs w:val="20"/>
                <w:color w:val="auto"/>
              </w:rPr>
            </w:pPr>
            <w:r>
              <w:rPr>
                <w:rFonts w:ascii="Times New Roman" w:cs="Times New Roman" w:eastAsia="Times New Roman" w:hAnsi="Times New Roman"/>
                <w:sz w:val="12"/>
                <w:szCs w:val="12"/>
                <w:color w:val="auto"/>
                <w:w w:val="99"/>
              </w:rPr>
              <w:t>0.33 Years</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3"/>
            <w:shd w:val="clear" w:color="auto" w:fill="CCEEFF"/>
          </w:tcPr>
          <w:p>
            <w:pPr>
              <w:jc w:val="center"/>
              <w:ind w:right="340"/>
              <w:spacing w:after="0" w:line="130" w:lineRule="exact"/>
              <w:rPr>
                <w:sz w:val="20"/>
                <w:szCs w:val="20"/>
                <w:color w:val="auto"/>
              </w:rPr>
            </w:pPr>
            <w:r>
              <w:rPr>
                <w:rFonts w:ascii="Times New Roman" w:cs="Times New Roman" w:eastAsia="Times New Roman" w:hAnsi="Times New Roman"/>
                <w:sz w:val="12"/>
                <w:szCs w:val="12"/>
                <w:color w:val="auto"/>
                <w:w w:val="99"/>
              </w:rPr>
              <w:t>0.87 Years</w:t>
            </w:r>
          </w:p>
        </w:tc>
        <w:tc>
          <w:tcPr>
            <w:tcW w:w="1400" w:type="dxa"/>
            <w:vAlign w:val="bottom"/>
            <w:shd w:val="clear" w:color="auto" w:fill="CCEEFF"/>
          </w:tcPr>
          <w:p>
            <w:pPr>
              <w:jc w:val="center"/>
              <w:ind w:right="201"/>
              <w:spacing w:after="0" w:line="130" w:lineRule="exact"/>
              <w:rPr>
                <w:sz w:val="20"/>
                <w:szCs w:val="20"/>
                <w:color w:val="auto"/>
              </w:rPr>
            </w:pPr>
            <w:r>
              <w:rPr>
                <w:rFonts w:ascii="Times New Roman" w:cs="Times New Roman" w:eastAsia="Times New Roman" w:hAnsi="Times New Roman"/>
                <w:sz w:val="12"/>
                <w:szCs w:val="12"/>
                <w:color w:val="auto"/>
              </w:rPr>
              <w:t>(0.54) years</w:t>
            </w:r>
          </w:p>
        </w:tc>
        <w:tc>
          <w:tcPr>
            <w:tcW w:w="0" w:type="dxa"/>
            <w:vAlign w:val="bottom"/>
          </w:tcPr>
          <w:p>
            <w:pPr>
              <w:spacing w:after="0"/>
              <w:rPr>
                <w:sz w:val="1"/>
                <w:szCs w:val="1"/>
                <w:color w:val="auto"/>
              </w:rPr>
            </w:pPr>
          </w:p>
        </w:tc>
      </w:tr>
    </w:tbl>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2"/>
          <w:szCs w:val="12"/>
          <w:color w:val="auto"/>
        </w:rPr>
        <w:t>In the case of our Live Theatres, with respect to key performance indicators, we primarily look to the Live Theatre rental revenue and ancillary income from the theatres. This key performance indicator represents box office revenues less amounts paid to producers for license fee settlements, plus ancillary income earned by us from certain theatre operations. Our Live Theatre rental revenue and ancillary income for the third quarter of 2025 improved to $0.9 million compared to $0.4 million for the third quarter of 2024. Our Live Theatre rental revenue and ancillary income for the nine months ended September 30, 2025 improved to $2.1 million compared to $1.2 million for the nine months ended September 30, 2024.</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Cinema Exhibition Segment Overview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operate our worldwide cinema exhibition businesses through various subsidiaries under various brands:</w:t>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in the U.S., under the Reading Cinemas, Angelika Film Centers, and Consolidated Theatres brands.</w:t>
      </w:r>
    </w:p>
    <w:p>
      <w:pPr>
        <w:ind w:left="440" w:right="2460"/>
        <w:spacing w:after="0" w:line="241" w:lineRule="auto"/>
        <w:rPr>
          <w:sz w:val="20"/>
          <w:szCs w:val="20"/>
          <w:color w:val="auto"/>
        </w:rPr>
      </w:pPr>
      <w:r>
        <w:rPr>
          <w:rFonts w:ascii="Times New Roman" w:cs="Times New Roman" w:eastAsia="Times New Roman" w:hAnsi="Times New Roman"/>
          <w:sz w:val="12"/>
          <w:szCs w:val="12"/>
          <w:color w:val="auto"/>
        </w:rPr>
        <w:t>in Australia, under the Reading Cinemas, Angelika Cinemas, the State Cinema by Angelika, and for our one unconsolidated joint venture theatre, Event Cinemas brands. in New Zealand, under the Reading Cinemas and for our two unconsolidated joint venture theatres, Rialto Cinemas brands.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Shown in the following table are the number of locations and screens in our cinema circuit in each country, by state/territory/region, our cinema brands, and our interest in the underlying assets as of September 30, 2025.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0"/>
                <w:szCs w:val="10"/>
                <w:b w:val="1"/>
                <w:bCs w:val="1"/>
                <w:color w:val="auto"/>
              </w:rPr>
              <w:t>State / Territory /</w:t>
            </w: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Location</w:t>
            </w:r>
          </w:p>
        </w:tc>
        <w:tc>
          <w:tcPr>
            <w:tcW w:w="9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Screen</w:t>
            </w:r>
          </w:p>
        </w:tc>
        <w:tc>
          <w:tcPr>
            <w:tcW w:w="2280" w:type="dxa"/>
            <w:vAlign w:val="bottom"/>
            <w:gridSpan w:val="5"/>
          </w:tcPr>
          <w:p>
            <w:pPr>
              <w:ind w:left="720"/>
              <w:spacing w:after="0"/>
              <w:rPr>
                <w:sz w:val="20"/>
                <w:szCs w:val="20"/>
                <w:color w:val="auto"/>
              </w:rPr>
            </w:pPr>
            <w:r>
              <w:rPr>
                <w:rFonts w:ascii="Times New Roman" w:cs="Times New Roman" w:eastAsia="Times New Roman" w:hAnsi="Times New Roman"/>
                <w:sz w:val="10"/>
                <w:szCs w:val="10"/>
                <w:b w:val="1"/>
                <w:bCs w:val="1"/>
                <w:color w:val="auto"/>
              </w:rPr>
              <w:t>Interest in Asset</w:t>
            </w: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0"/>
                <w:szCs w:val="10"/>
                <w:b w:val="1"/>
                <w:bCs w:val="1"/>
                <w:color w:val="auto"/>
                <w:w w:val="99"/>
              </w:rPr>
              <w:t>Underlying‎</w:t>
            </w: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the Cinema</w:t>
            </w:r>
          </w:p>
        </w:tc>
        <w:tc>
          <w:tcPr>
            <w:tcW w:w="1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560" w:type="dxa"/>
            <w:vAlign w:val="bottom"/>
          </w:tcPr>
          <w:p>
            <w:pPr>
              <w:ind w:left="600"/>
              <w:spacing w:after="0"/>
              <w:rPr>
                <w:sz w:val="20"/>
                <w:szCs w:val="20"/>
                <w:color w:val="auto"/>
              </w:rPr>
            </w:pPr>
            <w:r>
              <w:rPr>
                <w:rFonts w:ascii="Times New Roman" w:cs="Times New Roman" w:eastAsia="Times New Roman" w:hAnsi="Times New Roman"/>
                <w:sz w:val="10"/>
                <w:szCs w:val="10"/>
                <w:b w:val="1"/>
                <w:bCs w:val="1"/>
                <w:color w:val="auto"/>
              </w:rPr>
              <w:t>Country</w:t>
            </w:r>
          </w:p>
        </w:tc>
        <w:tc>
          <w:tcPr>
            <w:tcW w:w="180" w:type="dxa"/>
            <w:vAlign w:val="bottom"/>
          </w:tcPr>
          <w:p>
            <w:pPr>
              <w:spacing w:after="0"/>
              <w:rPr>
                <w:sz w:val="10"/>
                <w:szCs w:val="10"/>
                <w:color w:val="auto"/>
              </w:rPr>
            </w:pPr>
          </w:p>
        </w:tc>
        <w:tc>
          <w:tcPr>
            <w:tcW w:w="2000" w:type="dxa"/>
            <w:vAlign w:val="bottom"/>
            <w:gridSpan w:val="2"/>
          </w:tcPr>
          <w:p>
            <w:pPr>
              <w:ind w:left="760"/>
              <w:spacing w:after="0"/>
              <w:rPr>
                <w:sz w:val="20"/>
                <w:szCs w:val="20"/>
                <w:color w:val="auto"/>
              </w:rPr>
            </w:pPr>
            <w:r>
              <w:rPr>
                <w:rFonts w:ascii="Times New Roman" w:cs="Times New Roman" w:eastAsia="Times New Roman" w:hAnsi="Times New Roman"/>
                <w:sz w:val="10"/>
                <w:szCs w:val="10"/>
                <w:b w:val="1"/>
                <w:bCs w:val="1"/>
                <w:color w:val="auto"/>
              </w:rPr>
              <w:t>Region</w:t>
            </w:r>
          </w:p>
        </w:tc>
        <w:tc>
          <w:tcPr>
            <w:tcW w:w="1000" w:type="dxa"/>
            <w:vAlign w:val="bottom"/>
            <w:gridSpan w:val="2"/>
          </w:tcPr>
          <w:p>
            <w:pPr>
              <w:ind w:left="240"/>
              <w:spacing w:after="0" w:line="120" w:lineRule="exact"/>
              <w:rPr>
                <w:sz w:val="20"/>
                <w:szCs w:val="20"/>
                <w:color w:val="auto"/>
              </w:rPr>
            </w:pPr>
            <w:r>
              <w:rPr>
                <w:rFonts w:ascii="Times New Roman" w:cs="Times New Roman" w:eastAsia="Times New Roman" w:hAnsi="Times New Roman"/>
                <w:sz w:val="8"/>
                <w:szCs w:val="8"/>
                <w:b w:val="1"/>
                <w:bCs w:val="1"/>
                <w:color w:val="auto"/>
              </w:rPr>
              <w:t>Count</w:t>
            </w:r>
            <w:r>
              <w:rPr>
                <w:rFonts w:ascii="Times New Roman" w:cs="Times New Roman" w:eastAsia="Times New Roman" w:hAnsi="Times New Roman"/>
                <w:sz w:val="13"/>
                <w:szCs w:val="13"/>
                <w:b w:val="1"/>
                <w:bCs w:val="1"/>
                <w:color w:val="auto"/>
                <w:vertAlign w:val="superscript"/>
              </w:rPr>
              <w:t>(3)</w:t>
            </w: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0"/>
                <w:szCs w:val="10"/>
                <w:b w:val="1"/>
                <w:bCs w:val="1"/>
                <w:color w:val="auto"/>
              </w:rPr>
              <w:t>Count</w:t>
            </w: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0"/>
                <w:szCs w:val="10"/>
                <w:b w:val="1"/>
                <w:bCs w:val="1"/>
                <w:color w:val="auto"/>
              </w:rPr>
              <w:t>Leased</w:t>
            </w:r>
          </w:p>
        </w:tc>
        <w:tc>
          <w:tcPr>
            <w:tcW w:w="80" w:type="dxa"/>
            <w:vAlign w:val="bottom"/>
          </w:tcPr>
          <w:p>
            <w:pPr>
              <w:spacing w:after="0"/>
              <w:rPr>
                <w:sz w:val="10"/>
                <w:szCs w:val="10"/>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3300" w:type="dxa"/>
            <w:vAlign w:val="bottom"/>
          </w:tcPr>
          <w:p>
            <w:pPr>
              <w:ind w:left="1260"/>
              <w:spacing w:after="0"/>
              <w:rPr>
                <w:sz w:val="20"/>
                <w:szCs w:val="20"/>
                <w:color w:val="auto"/>
              </w:rPr>
            </w:pPr>
            <w:r>
              <w:rPr>
                <w:rFonts w:ascii="Times New Roman" w:cs="Times New Roman" w:eastAsia="Times New Roman" w:hAnsi="Times New Roman"/>
                <w:sz w:val="10"/>
                <w:szCs w:val="10"/>
                <w:b w:val="1"/>
                <w:bCs w:val="1"/>
                <w:color w:val="auto"/>
              </w:rPr>
              <w:t>Operating Brands</w:t>
            </w:r>
          </w:p>
        </w:tc>
        <w:tc>
          <w:tcPr>
            <w:tcW w:w="0" w:type="dxa"/>
            <w:vAlign w:val="bottom"/>
          </w:tcPr>
          <w:p>
            <w:pPr>
              <w:spacing w:after="0"/>
              <w:rPr>
                <w:sz w:val="1"/>
                <w:szCs w:val="1"/>
                <w:color w:val="auto"/>
              </w:rPr>
            </w:pPr>
          </w:p>
        </w:tc>
      </w:tr>
      <w:tr>
        <w:trPr>
          <w:trHeight w:val="110"/>
        </w:trPr>
        <w:tc>
          <w:tcPr>
            <w:tcW w:w="1560" w:type="dxa"/>
            <w:vAlign w:val="bottom"/>
            <w:tcBorders>
              <w:top w:val="single" w:sz="8" w:color="auto"/>
            </w:tcBorders>
            <w:shd w:val="clear" w:color="auto" w:fill="CCEEFF"/>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United States</w:t>
            </w:r>
          </w:p>
        </w:tc>
        <w:tc>
          <w:tcPr>
            <w:tcW w:w="180" w:type="dxa"/>
            <w:vAlign w:val="bottom"/>
            <w:tcBorders>
              <w:top w:val="single" w:sz="8" w:color="CCEEFF"/>
            </w:tcBorders>
            <w:shd w:val="clear" w:color="auto" w:fill="CCEEFF"/>
          </w:tcPr>
          <w:p>
            <w:pPr>
              <w:spacing w:after="0"/>
              <w:rPr>
                <w:sz w:val="9"/>
                <w:szCs w:val="9"/>
                <w:color w:val="auto"/>
              </w:rPr>
            </w:pPr>
          </w:p>
        </w:tc>
        <w:tc>
          <w:tcPr>
            <w:tcW w:w="1840" w:type="dxa"/>
            <w:vAlign w:val="bottom"/>
            <w:tcBorders>
              <w:top w:val="single" w:sz="8" w:color="auto"/>
            </w:tcBorders>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Hawaii</w:t>
            </w:r>
          </w:p>
        </w:tc>
        <w:tc>
          <w:tcPr>
            <w:tcW w:w="16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center"/>
              <w:spacing w:after="0" w:line="111" w:lineRule="exact"/>
              <w:rPr>
                <w:sz w:val="20"/>
                <w:szCs w:val="20"/>
                <w:color w:val="auto"/>
              </w:rPr>
            </w:pPr>
            <w:r>
              <w:rPr>
                <w:rFonts w:ascii="Times New Roman" w:cs="Times New Roman" w:eastAsia="Times New Roman" w:hAnsi="Times New Roman"/>
                <w:sz w:val="10"/>
                <w:szCs w:val="10"/>
                <w:color w:val="auto"/>
                <w:w w:val="79"/>
              </w:rPr>
              <w:t>6</w:t>
            </w:r>
          </w:p>
        </w:tc>
        <w:tc>
          <w:tcPr>
            <w:tcW w:w="1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center"/>
              <w:spacing w:after="0" w:line="111" w:lineRule="exact"/>
              <w:rPr>
                <w:sz w:val="20"/>
                <w:szCs w:val="20"/>
                <w:color w:val="auto"/>
              </w:rPr>
            </w:pPr>
            <w:r>
              <w:rPr>
                <w:rFonts w:ascii="Times New Roman" w:cs="Times New Roman" w:eastAsia="Times New Roman" w:hAnsi="Times New Roman"/>
                <w:sz w:val="10"/>
                <w:szCs w:val="10"/>
                <w:color w:val="auto"/>
                <w:w w:val="99"/>
              </w:rPr>
              <w:t>74</w:t>
            </w:r>
          </w:p>
        </w:tc>
        <w:tc>
          <w:tcPr>
            <w:tcW w:w="16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jc w:val="center"/>
              <w:spacing w:after="0" w:line="111" w:lineRule="exact"/>
              <w:rPr>
                <w:sz w:val="20"/>
                <w:szCs w:val="20"/>
                <w:color w:val="auto"/>
              </w:rPr>
            </w:pPr>
            <w:r>
              <w:rPr>
                <w:rFonts w:ascii="Times New Roman" w:cs="Times New Roman" w:eastAsia="Times New Roman" w:hAnsi="Times New Roman"/>
                <w:sz w:val="10"/>
                <w:szCs w:val="10"/>
                <w:color w:val="auto"/>
              </w:rPr>
              <w:t>6</w:t>
            </w: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300" w:type="dxa"/>
            <w:vAlign w:val="bottom"/>
            <w:tcBorders>
              <w:top w:val="single" w:sz="8" w:color="auto"/>
            </w:tcBorders>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Consolidated Theatres</w:t>
            </w:r>
          </w:p>
        </w:tc>
        <w:tc>
          <w:tcPr>
            <w:tcW w:w="0" w:type="dxa"/>
            <w:vAlign w:val="bottom"/>
          </w:tcPr>
          <w:p>
            <w:pPr>
              <w:spacing w:after="0"/>
              <w:rPr>
                <w:sz w:val="1"/>
                <w:szCs w:val="1"/>
                <w:color w:val="auto"/>
              </w:rPr>
            </w:pPr>
          </w:p>
        </w:tc>
      </w:tr>
      <w:tr>
        <w:trPr>
          <w:trHeight w:val="112"/>
        </w:trPr>
        <w:tc>
          <w:tcPr>
            <w:tcW w:w="1560" w:type="dxa"/>
            <w:vAlign w:val="bottom"/>
          </w:tcPr>
          <w:p>
            <w:pPr>
              <w:spacing w:after="0"/>
              <w:rPr>
                <w:sz w:val="9"/>
                <w:szCs w:val="9"/>
                <w:color w:val="auto"/>
              </w:rPr>
            </w:pPr>
          </w:p>
        </w:tc>
        <w:tc>
          <w:tcPr>
            <w:tcW w:w="2180" w:type="dxa"/>
            <w:vAlign w:val="bottom"/>
            <w:gridSpan w:val="3"/>
          </w:tcPr>
          <w:p>
            <w:pPr>
              <w:ind w:left="180"/>
              <w:spacing w:after="0" w:line="112" w:lineRule="exact"/>
              <w:rPr>
                <w:sz w:val="20"/>
                <w:szCs w:val="20"/>
                <w:color w:val="auto"/>
              </w:rPr>
            </w:pPr>
            <w:r>
              <w:rPr>
                <w:rFonts w:ascii="Times New Roman" w:cs="Times New Roman" w:eastAsia="Times New Roman" w:hAnsi="Times New Roman"/>
                <w:sz w:val="10"/>
                <w:szCs w:val="10"/>
                <w:color w:val="auto"/>
              </w:rPr>
              <w:t>California</w:t>
            </w:r>
          </w:p>
        </w:tc>
        <w:tc>
          <w:tcPr>
            <w:tcW w:w="8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w w:val="79"/>
              </w:rPr>
              <w:t>5</w:t>
            </w:r>
          </w:p>
        </w:tc>
        <w:tc>
          <w:tcPr>
            <w:tcW w:w="180" w:type="dxa"/>
            <w:vAlign w:val="bottom"/>
          </w:tcPr>
          <w:p>
            <w:pPr>
              <w:spacing w:after="0"/>
              <w:rPr>
                <w:sz w:val="9"/>
                <w:szCs w:val="9"/>
                <w:color w:val="auto"/>
              </w:rPr>
            </w:pPr>
          </w:p>
        </w:tc>
        <w:tc>
          <w:tcPr>
            <w:tcW w:w="8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w w:val="99"/>
              </w:rPr>
              <w:t>58</w:t>
            </w:r>
          </w:p>
        </w:tc>
        <w:tc>
          <w:tcPr>
            <w:tcW w:w="160" w:type="dxa"/>
            <w:vAlign w:val="bottom"/>
          </w:tcPr>
          <w:p>
            <w:pPr>
              <w:spacing w:after="0"/>
              <w:rPr>
                <w:sz w:val="9"/>
                <w:szCs w:val="9"/>
                <w:color w:val="auto"/>
              </w:rPr>
            </w:pPr>
          </w:p>
        </w:tc>
        <w:tc>
          <w:tcPr>
            <w:tcW w:w="98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rPr>
              <w:t>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30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Reading Cinemas, Angelika Film Center</w:t>
            </w:r>
          </w:p>
        </w:tc>
        <w:tc>
          <w:tcPr>
            <w:tcW w:w="0" w:type="dxa"/>
            <w:vAlign w:val="bottom"/>
          </w:tcPr>
          <w:p>
            <w:pPr>
              <w:spacing w:after="0"/>
              <w:rPr>
                <w:sz w:val="1"/>
                <w:szCs w:val="1"/>
                <w:color w:val="auto"/>
              </w:rPr>
            </w:pPr>
          </w:p>
        </w:tc>
      </w:tr>
      <w:tr>
        <w:trPr>
          <w:trHeight w:val="112"/>
        </w:trPr>
        <w:tc>
          <w:tcPr>
            <w:tcW w:w="1560" w:type="dxa"/>
            <w:vAlign w:val="bottom"/>
            <w:shd w:val="clear" w:color="auto" w:fill="CCEEFF"/>
          </w:tcPr>
          <w:p>
            <w:pPr>
              <w:spacing w:after="0"/>
              <w:rPr>
                <w:sz w:val="9"/>
                <w:szCs w:val="9"/>
                <w:color w:val="auto"/>
              </w:rPr>
            </w:pPr>
          </w:p>
        </w:tc>
        <w:tc>
          <w:tcPr>
            <w:tcW w:w="2180" w:type="dxa"/>
            <w:vAlign w:val="bottom"/>
            <w:gridSpan w:val="3"/>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New York</w:t>
            </w:r>
          </w:p>
        </w:tc>
        <w:tc>
          <w:tcPr>
            <w:tcW w:w="82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w w:val="79"/>
              </w:rPr>
              <w:t>3</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w w:val="99"/>
              </w:rPr>
              <w:t>16</w:t>
            </w: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center"/>
              <w:ind w:left="30"/>
              <w:spacing w:after="0" w:line="112" w:lineRule="exact"/>
              <w:rPr>
                <w:sz w:val="20"/>
                <w:szCs w:val="20"/>
                <w:color w:val="auto"/>
              </w:rPr>
            </w:pP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9"/>
                <w:szCs w:val="9"/>
                <w:color w:val="auto"/>
              </w:rPr>
            </w:pPr>
          </w:p>
        </w:tc>
        <w:tc>
          <w:tcPr>
            <w:tcW w:w="330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Angelika Film Center</w:t>
            </w:r>
          </w:p>
        </w:tc>
        <w:tc>
          <w:tcPr>
            <w:tcW w:w="0" w:type="dxa"/>
            <w:vAlign w:val="bottom"/>
          </w:tcPr>
          <w:p>
            <w:pPr>
              <w:spacing w:after="0"/>
              <w:rPr>
                <w:sz w:val="1"/>
                <w:szCs w:val="1"/>
                <w:color w:val="auto"/>
              </w:rPr>
            </w:pPr>
          </w:p>
        </w:tc>
      </w:tr>
      <w:tr>
        <w:trPr>
          <w:trHeight w:val="112"/>
        </w:trPr>
        <w:tc>
          <w:tcPr>
            <w:tcW w:w="1560" w:type="dxa"/>
            <w:vAlign w:val="bottom"/>
          </w:tcPr>
          <w:p>
            <w:pPr>
              <w:spacing w:after="0"/>
              <w:rPr>
                <w:sz w:val="9"/>
                <w:szCs w:val="9"/>
                <w:color w:val="auto"/>
              </w:rPr>
            </w:pPr>
          </w:p>
        </w:tc>
        <w:tc>
          <w:tcPr>
            <w:tcW w:w="2180" w:type="dxa"/>
            <w:vAlign w:val="bottom"/>
            <w:gridSpan w:val="3"/>
          </w:tcPr>
          <w:p>
            <w:pPr>
              <w:ind w:left="180"/>
              <w:spacing w:after="0" w:line="112" w:lineRule="exact"/>
              <w:rPr>
                <w:sz w:val="20"/>
                <w:szCs w:val="20"/>
                <w:color w:val="auto"/>
              </w:rPr>
            </w:pPr>
            <w:r>
              <w:rPr>
                <w:rFonts w:ascii="Times New Roman" w:cs="Times New Roman" w:eastAsia="Times New Roman" w:hAnsi="Times New Roman"/>
                <w:sz w:val="10"/>
                <w:szCs w:val="10"/>
                <w:color w:val="auto"/>
              </w:rPr>
              <w:t>Texas</w:t>
            </w:r>
          </w:p>
        </w:tc>
        <w:tc>
          <w:tcPr>
            <w:tcW w:w="8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w w:val="79"/>
              </w:rPr>
              <w:t>1</w:t>
            </w:r>
          </w:p>
        </w:tc>
        <w:tc>
          <w:tcPr>
            <w:tcW w:w="180" w:type="dxa"/>
            <w:vAlign w:val="bottom"/>
          </w:tcPr>
          <w:p>
            <w:pPr>
              <w:spacing w:after="0"/>
              <w:rPr>
                <w:sz w:val="9"/>
                <w:szCs w:val="9"/>
                <w:color w:val="auto"/>
              </w:rPr>
            </w:pPr>
          </w:p>
        </w:tc>
        <w:tc>
          <w:tcPr>
            <w:tcW w:w="8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rPr>
              <w:t>8</w:t>
            </w:r>
          </w:p>
        </w:tc>
        <w:tc>
          <w:tcPr>
            <w:tcW w:w="160" w:type="dxa"/>
            <w:vAlign w:val="bottom"/>
          </w:tcPr>
          <w:p>
            <w:pPr>
              <w:spacing w:after="0"/>
              <w:rPr>
                <w:sz w:val="9"/>
                <w:szCs w:val="9"/>
                <w:color w:val="auto"/>
              </w:rPr>
            </w:pPr>
          </w:p>
        </w:tc>
        <w:tc>
          <w:tcPr>
            <w:tcW w:w="98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30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Angelika Film Center</w:t>
            </w:r>
          </w:p>
        </w:tc>
        <w:tc>
          <w:tcPr>
            <w:tcW w:w="0" w:type="dxa"/>
            <w:vAlign w:val="bottom"/>
          </w:tcPr>
          <w:p>
            <w:pPr>
              <w:spacing w:after="0"/>
              <w:rPr>
                <w:sz w:val="1"/>
                <w:szCs w:val="1"/>
                <w:color w:val="auto"/>
              </w:rPr>
            </w:pPr>
          </w:p>
        </w:tc>
      </w:tr>
      <w:tr>
        <w:trPr>
          <w:trHeight w:val="112"/>
        </w:trPr>
        <w:tc>
          <w:tcPr>
            <w:tcW w:w="1560" w:type="dxa"/>
            <w:vAlign w:val="bottom"/>
            <w:shd w:val="clear" w:color="auto" w:fill="CCEEFF"/>
          </w:tcPr>
          <w:p>
            <w:pPr>
              <w:spacing w:after="0"/>
              <w:rPr>
                <w:sz w:val="9"/>
                <w:szCs w:val="9"/>
                <w:color w:val="auto"/>
              </w:rPr>
            </w:pPr>
          </w:p>
        </w:tc>
        <w:tc>
          <w:tcPr>
            <w:tcW w:w="2180" w:type="dxa"/>
            <w:vAlign w:val="bottom"/>
            <w:gridSpan w:val="3"/>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New Jersey</w:t>
            </w:r>
          </w:p>
        </w:tc>
        <w:tc>
          <w:tcPr>
            <w:tcW w:w="82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w w:val="79"/>
              </w:rPr>
              <w:t>1</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w w:val="99"/>
              </w:rPr>
              <w:t>12</w:t>
            </w: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30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Reading Cinemas</w:t>
            </w:r>
          </w:p>
        </w:tc>
        <w:tc>
          <w:tcPr>
            <w:tcW w:w="0" w:type="dxa"/>
            <w:vAlign w:val="bottom"/>
          </w:tcPr>
          <w:p>
            <w:pPr>
              <w:spacing w:after="0"/>
              <w:rPr>
                <w:sz w:val="1"/>
                <w:szCs w:val="1"/>
                <w:color w:val="auto"/>
              </w:rPr>
            </w:pPr>
          </w:p>
        </w:tc>
      </w:tr>
      <w:tr>
        <w:trPr>
          <w:trHeight w:val="112"/>
        </w:trPr>
        <w:tc>
          <w:tcPr>
            <w:tcW w:w="1560" w:type="dxa"/>
            <w:vAlign w:val="bottom"/>
          </w:tcPr>
          <w:p>
            <w:pPr>
              <w:spacing w:after="0"/>
              <w:rPr>
                <w:sz w:val="9"/>
                <w:szCs w:val="9"/>
                <w:color w:val="auto"/>
              </w:rPr>
            </w:pPr>
          </w:p>
        </w:tc>
        <w:tc>
          <w:tcPr>
            <w:tcW w:w="2180" w:type="dxa"/>
            <w:vAlign w:val="bottom"/>
            <w:gridSpan w:val="3"/>
          </w:tcPr>
          <w:p>
            <w:pPr>
              <w:ind w:left="180"/>
              <w:spacing w:after="0" w:line="112" w:lineRule="exact"/>
              <w:rPr>
                <w:sz w:val="20"/>
                <w:szCs w:val="20"/>
                <w:color w:val="auto"/>
              </w:rPr>
            </w:pPr>
            <w:r>
              <w:rPr>
                <w:rFonts w:ascii="Times New Roman" w:cs="Times New Roman" w:eastAsia="Times New Roman" w:hAnsi="Times New Roman"/>
                <w:sz w:val="10"/>
                <w:szCs w:val="10"/>
                <w:color w:val="auto"/>
              </w:rPr>
              <w:t>Virginia</w:t>
            </w:r>
          </w:p>
        </w:tc>
        <w:tc>
          <w:tcPr>
            <w:tcW w:w="8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w w:val="79"/>
              </w:rPr>
              <w:t>1</w:t>
            </w:r>
          </w:p>
        </w:tc>
        <w:tc>
          <w:tcPr>
            <w:tcW w:w="180" w:type="dxa"/>
            <w:vAlign w:val="bottom"/>
          </w:tcPr>
          <w:p>
            <w:pPr>
              <w:spacing w:after="0"/>
              <w:rPr>
                <w:sz w:val="9"/>
                <w:szCs w:val="9"/>
                <w:color w:val="auto"/>
              </w:rPr>
            </w:pPr>
          </w:p>
        </w:tc>
        <w:tc>
          <w:tcPr>
            <w:tcW w:w="8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rPr>
              <w:t>8</w:t>
            </w:r>
          </w:p>
        </w:tc>
        <w:tc>
          <w:tcPr>
            <w:tcW w:w="160" w:type="dxa"/>
            <w:vAlign w:val="bottom"/>
          </w:tcPr>
          <w:p>
            <w:pPr>
              <w:spacing w:after="0"/>
              <w:rPr>
                <w:sz w:val="9"/>
                <w:szCs w:val="9"/>
                <w:color w:val="auto"/>
              </w:rPr>
            </w:pPr>
          </w:p>
        </w:tc>
        <w:tc>
          <w:tcPr>
            <w:tcW w:w="98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30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Angelika Film Center</w:t>
            </w:r>
          </w:p>
        </w:tc>
        <w:tc>
          <w:tcPr>
            <w:tcW w:w="0" w:type="dxa"/>
            <w:vAlign w:val="bottom"/>
          </w:tcPr>
          <w:p>
            <w:pPr>
              <w:spacing w:after="0"/>
              <w:rPr>
                <w:sz w:val="1"/>
                <w:szCs w:val="1"/>
                <w:color w:val="auto"/>
              </w:rPr>
            </w:pPr>
          </w:p>
        </w:tc>
      </w:tr>
      <w:tr>
        <w:trPr>
          <w:trHeight w:val="112"/>
        </w:trPr>
        <w:tc>
          <w:tcPr>
            <w:tcW w:w="1560" w:type="dxa"/>
            <w:vAlign w:val="bottom"/>
            <w:tcBorders>
              <w:bottom w:val="single" w:sz="8" w:color="auto"/>
            </w:tcBorders>
            <w:shd w:val="clear" w:color="auto" w:fill="CCEEFF"/>
          </w:tcPr>
          <w:p>
            <w:pPr>
              <w:spacing w:after="0"/>
              <w:rPr>
                <w:sz w:val="9"/>
                <w:szCs w:val="9"/>
                <w:color w:val="auto"/>
              </w:rPr>
            </w:pPr>
          </w:p>
        </w:tc>
        <w:tc>
          <w:tcPr>
            <w:tcW w:w="2180" w:type="dxa"/>
            <w:vAlign w:val="bottom"/>
            <w:tcBorders>
              <w:bottom w:val="single" w:sz="8" w:color="auto"/>
            </w:tcBorders>
            <w:gridSpan w:val="3"/>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Washington, D.C.</w:t>
            </w:r>
          </w:p>
        </w:tc>
        <w:tc>
          <w:tcPr>
            <w:tcW w:w="820" w:type="dxa"/>
            <w:vAlign w:val="bottom"/>
            <w:tcBorders>
              <w:bottom w:val="single" w:sz="8" w:color="auto"/>
            </w:tcBorders>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w w:val="79"/>
              </w:rPr>
              <w:t>1</w:t>
            </w:r>
          </w:p>
        </w:tc>
        <w:tc>
          <w:tcPr>
            <w:tcW w:w="18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rPr>
              <w:t>3</w:t>
            </w:r>
          </w:p>
        </w:tc>
        <w:tc>
          <w:tcPr>
            <w:tcW w:w="160" w:type="dxa"/>
            <w:vAlign w:val="bottom"/>
            <w:tcBorders>
              <w:bottom w:val="single" w:sz="8" w:color="auto"/>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3300" w:type="dxa"/>
            <w:vAlign w:val="bottom"/>
            <w:tcBorders>
              <w:bottom w:val="single" w:sz="8" w:color="auto"/>
            </w:tcBorders>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Angelika Film Center</w:t>
            </w:r>
          </w:p>
        </w:tc>
        <w:tc>
          <w:tcPr>
            <w:tcW w:w="0" w:type="dxa"/>
            <w:vAlign w:val="bottom"/>
          </w:tcPr>
          <w:p>
            <w:pPr>
              <w:spacing w:after="0"/>
              <w:rPr>
                <w:sz w:val="1"/>
                <w:szCs w:val="1"/>
                <w:color w:val="auto"/>
              </w:rPr>
            </w:pPr>
          </w:p>
        </w:tc>
      </w:tr>
      <w:tr>
        <w:trPr>
          <w:trHeight w:val="101"/>
        </w:trPr>
        <w:tc>
          <w:tcPr>
            <w:tcW w:w="15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gridSpan w:val="2"/>
          </w:tcPr>
          <w:p>
            <w:pPr>
              <w:ind w:left="60"/>
              <w:spacing w:after="0" w:line="101" w:lineRule="exact"/>
              <w:rPr>
                <w:sz w:val="20"/>
                <w:szCs w:val="20"/>
                <w:color w:val="auto"/>
              </w:rPr>
            </w:pPr>
            <w:r>
              <w:rPr>
                <w:rFonts w:ascii="Times New Roman" w:cs="Times New Roman" w:eastAsia="Times New Roman" w:hAnsi="Times New Roman"/>
                <w:sz w:val="10"/>
                <w:szCs w:val="10"/>
                <w:b w:val="1"/>
                <w:bCs w:val="1"/>
                <w:i w:val="1"/>
                <w:iCs w:val="1"/>
                <w:color w:val="auto"/>
              </w:rPr>
              <w:t>U.S. Total</w:t>
            </w:r>
          </w:p>
        </w:tc>
        <w:tc>
          <w:tcPr>
            <w:tcW w:w="820" w:type="dxa"/>
            <w:vAlign w:val="bottom"/>
            <w:tcBorders>
              <w:bottom w:val="single" w:sz="8" w:color="auto"/>
            </w:tcBorders>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w w:val="99"/>
              </w:rPr>
              <w:t>18</w:t>
            </w: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w w:val="93"/>
              </w:rPr>
              <w:t>179</w:t>
            </w: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w w:val="99"/>
              </w:rPr>
              <w:t>17</w:t>
            </w:r>
          </w:p>
        </w:tc>
        <w:tc>
          <w:tcPr>
            <w:tcW w:w="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jc w:val="center"/>
              <w:ind w:left="30"/>
              <w:spacing w:after="0" w:line="101" w:lineRule="exact"/>
              <w:rPr>
                <w:sz w:val="20"/>
                <w:szCs w:val="20"/>
                <w:color w:val="auto"/>
              </w:rPr>
            </w:pPr>
            <w:r>
              <w:rPr>
                <w:rFonts w:ascii="Times New Roman" w:cs="Times New Roman" w:eastAsia="Times New Roman" w:hAnsi="Times New Roman"/>
                <w:sz w:val="10"/>
                <w:szCs w:val="10"/>
                <w:b w:val="1"/>
                <w:bCs w:val="1"/>
                <w:color w:val="auto"/>
              </w:rPr>
              <w:t>1</w:t>
            </w:r>
          </w:p>
        </w:tc>
        <w:tc>
          <w:tcPr>
            <w:tcW w:w="160" w:type="dxa"/>
            <w:vAlign w:val="bottom"/>
            <w:tcBorders>
              <w:bottom w:val="single" w:sz="8" w:color="auto"/>
            </w:tcBorders>
          </w:tcPr>
          <w:p>
            <w:pPr>
              <w:spacing w:after="0"/>
              <w:rPr>
                <w:sz w:val="8"/>
                <w:szCs w:val="8"/>
                <w:color w:val="auto"/>
              </w:rPr>
            </w:pPr>
          </w:p>
        </w:tc>
        <w:tc>
          <w:tcPr>
            <w:tcW w:w="3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Australia</w:t>
            </w:r>
          </w:p>
        </w:tc>
        <w:tc>
          <w:tcPr>
            <w:tcW w:w="2180" w:type="dxa"/>
            <w:vAlign w:val="bottom"/>
            <w:gridSpan w:val="3"/>
            <w:shd w:val="clear" w:color="auto" w:fill="CCEEFF"/>
          </w:tcPr>
          <w:p>
            <w:pPr>
              <w:ind w:left="180"/>
              <w:spacing w:after="0" w:line="101" w:lineRule="exact"/>
              <w:rPr>
                <w:sz w:val="20"/>
                <w:szCs w:val="20"/>
                <w:color w:val="auto"/>
              </w:rPr>
            </w:pPr>
            <w:r>
              <w:rPr>
                <w:rFonts w:ascii="Times New Roman" w:cs="Times New Roman" w:eastAsia="Times New Roman" w:hAnsi="Times New Roman"/>
                <w:sz w:val="10"/>
                <w:szCs w:val="10"/>
                <w:color w:val="auto"/>
              </w:rPr>
              <w:t>Victoria</w:t>
            </w:r>
          </w:p>
        </w:tc>
        <w:tc>
          <w:tcPr>
            <w:tcW w:w="820" w:type="dxa"/>
            <w:vAlign w:val="bottom"/>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color w:val="auto"/>
                <w:w w:val="79"/>
              </w:rPr>
              <w:t>9</w:t>
            </w:r>
          </w:p>
        </w:tc>
        <w:tc>
          <w:tcPr>
            <w:tcW w:w="180" w:type="dxa"/>
            <w:vAlign w:val="bottom"/>
            <w:shd w:val="clear" w:color="auto" w:fill="CCEEFF"/>
          </w:tcPr>
          <w:p>
            <w:pPr>
              <w:spacing w:after="0"/>
              <w:rPr>
                <w:sz w:val="8"/>
                <w:szCs w:val="8"/>
                <w:color w:val="auto"/>
              </w:rPr>
            </w:pPr>
          </w:p>
        </w:tc>
        <w:tc>
          <w:tcPr>
            <w:tcW w:w="820" w:type="dxa"/>
            <w:vAlign w:val="bottom"/>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color w:val="auto"/>
                <w:w w:val="99"/>
              </w:rPr>
              <w:t>62</w:t>
            </w:r>
          </w:p>
        </w:tc>
        <w:tc>
          <w:tcPr>
            <w:tcW w:w="160" w:type="dxa"/>
            <w:vAlign w:val="bottom"/>
            <w:shd w:val="clear" w:color="auto" w:fill="CCEEFF"/>
          </w:tcPr>
          <w:p>
            <w:pPr>
              <w:spacing w:after="0"/>
              <w:rPr>
                <w:sz w:val="8"/>
                <w:szCs w:val="8"/>
                <w:color w:val="auto"/>
              </w:rPr>
            </w:pPr>
          </w:p>
        </w:tc>
        <w:tc>
          <w:tcPr>
            <w:tcW w:w="980" w:type="dxa"/>
            <w:vAlign w:val="bottom"/>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color w:val="auto"/>
              </w:rPr>
              <w:t>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Reading Cinemas</w:t>
            </w:r>
          </w:p>
        </w:tc>
        <w:tc>
          <w:tcPr>
            <w:tcW w:w="0" w:type="dxa"/>
            <w:vAlign w:val="bottom"/>
          </w:tcPr>
          <w:p>
            <w:pPr>
              <w:spacing w:after="0"/>
              <w:rPr>
                <w:sz w:val="1"/>
                <w:szCs w:val="1"/>
                <w:color w:val="auto"/>
              </w:rPr>
            </w:pPr>
          </w:p>
        </w:tc>
      </w:tr>
      <w:tr>
        <w:trPr>
          <w:trHeight w:val="112"/>
        </w:trPr>
        <w:tc>
          <w:tcPr>
            <w:tcW w:w="1560" w:type="dxa"/>
            <w:vAlign w:val="bottom"/>
          </w:tcPr>
          <w:p>
            <w:pPr>
              <w:spacing w:after="0"/>
              <w:rPr>
                <w:sz w:val="9"/>
                <w:szCs w:val="9"/>
                <w:color w:val="auto"/>
              </w:rPr>
            </w:pPr>
          </w:p>
        </w:tc>
        <w:tc>
          <w:tcPr>
            <w:tcW w:w="2180" w:type="dxa"/>
            <w:vAlign w:val="bottom"/>
            <w:gridSpan w:val="3"/>
          </w:tcPr>
          <w:p>
            <w:pPr>
              <w:ind w:left="180"/>
              <w:spacing w:after="0" w:line="112" w:lineRule="exact"/>
              <w:rPr>
                <w:sz w:val="20"/>
                <w:szCs w:val="20"/>
                <w:color w:val="auto"/>
              </w:rPr>
            </w:pPr>
            <w:r>
              <w:rPr>
                <w:rFonts w:ascii="Times New Roman" w:cs="Times New Roman" w:eastAsia="Times New Roman" w:hAnsi="Times New Roman"/>
                <w:sz w:val="10"/>
                <w:szCs w:val="10"/>
                <w:color w:val="auto"/>
              </w:rPr>
              <w:t>New South Wales</w:t>
            </w:r>
          </w:p>
        </w:tc>
        <w:tc>
          <w:tcPr>
            <w:tcW w:w="8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w w:val="79"/>
              </w:rPr>
              <w:t>6</w:t>
            </w:r>
          </w:p>
        </w:tc>
        <w:tc>
          <w:tcPr>
            <w:tcW w:w="180" w:type="dxa"/>
            <w:vAlign w:val="bottom"/>
          </w:tcPr>
          <w:p>
            <w:pPr>
              <w:spacing w:after="0"/>
              <w:rPr>
                <w:sz w:val="9"/>
                <w:szCs w:val="9"/>
                <w:color w:val="auto"/>
              </w:rPr>
            </w:pPr>
          </w:p>
        </w:tc>
        <w:tc>
          <w:tcPr>
            <w:tcW w:w="8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w w:val="99"/>
              </w:rPr>
              <w:t>44</w:t>
            </w:r>
          </w:p>
        </w:tc>
        <w:tc>
          <w:tcPr>
            <w:tcW w:w="160" w:type="dxa"/>
            <w:vAlign w:val="bottom"/>
          </w:tcPr>
          <w:p>
            <w:pPr>
              <w:spacing w:after="0"/>
              <w:rPr>
                <w:sz w:val="9"/>
                <w:szCs w:val="9"/>
                <w:color w:val="auto"/>
              </w:rPr>
            </w:pPr>
          </w:p>
        </w:tc>
        <w:tc>
          <w:tcPr>
            <w:tcW w:w="98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rPr>
              <w:t>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30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Reading Cinemas</w:t>
            </w:r>
          </w:p>
        </w:tc>
        <w:tc>
          <w:tcPr>
            <w:tcW w:w="0" w:type="dxa"/>
            <w:vAlign w:val="bottom"/>
          </w:tcPr>
          <w:p>
            <w:pPr>
              <w:spacing w:after="0"/>
              <w:rPr>
                <w:sz w:val="1"/>
                <w:szCs w:val="1"/>
                <w:color w:val="auto"/>
              </w:rPr>
            </w:pPr>
          </w:p>
        </w:tc>
      </w:tr>
      <w:tr>
        <w:trPr>
          <w:trHeight w:val="140"/>
        </w:trPr>
        <w:tc>
          <w:tcPr>
            <w:tcW w:w="156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Queensland</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79"/>
              </w:rPr>
              <w:t>7</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64</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0"/>
                <w:szCs w:val="10"/>
                <w:color w:val="auto"/>
              </w:rPr>
              <w:t xml:space="preserve">Reading Cinemas, Angelika Cinemas, Event </w:t>
            </w:r>
            <w:r>
              <w:rPr>
                <w:rFonts w:ascii="Times New Roman" w:cs="Times New Roman" w:eastAsia="Times New Roman" w:hAnsi="Times New Roman"/>
                <w:sz w:val="16"/>
                <w:szCs w:val="16"/>
                <w:color w:val="auto"/>
                <w:vertAlign w:val="superscript"/>
              </w:rPr>
              <w:t>Ci</w:t>
            </w:r>
            <w:r>
              <w:rPr>
                <w:rFonts w:ascii="Times New Roman" w:cs="Times New Roman" w:eastAsia="Times New Roman" w:hAnsi="Times New Roman"/>
                <w:sz w:val="10"/>
                <w:szCs w:val="10"/>
                <w:color w:val="auto"/>
              </w:rPr>
              <w:t>nemas(1)</w:t>
            </w:r>
          </w:p>
        </w:tc>
        <w:tc>
          <w:tcPr>
            <w:tcW w:w="0" w:type="dxa"/>
            <w:vAlign w:val="bottom"/>
          </w:tcPr>
          <w:p>
            <w:pPr>
              <w:spacing w:after="0"/>
              <w:rPr>
                <w:sz w:val="1"/>
                <w:szCs w:val="1"/>
                <w:color w:val="auto"/>
              </w:rPr>
            </w:pPr>
          </w:p>
        </w:tc>
      </w:tr>
      <w:tr>
        <w:trPr>
          <w:trHeight w:val="112"/>
        </w:trPr>
        <w:tc>
          <w:tcPr>
            <w:tcW w:w="1560" w:type="dxa"/>
            <w:vAlign w:val="bottom"/>
          </w:tcPr>
          <w:p>
            <w:pPr>
              <w:spacing w:after="0"/>
              <w:rPr>
                <w:sz w:val="9"/>
                <w:szCs w:val="9"/>
                <w:color w:val="auto"/>
              </w:rPr>
            </w:pPr>
          </w:p>
        </w:tc>
        <w:tc>
          <w:tcPr>
            <w:tcW w:w="2180" w:type="dxa"/>
            <w:vAlign w:val="bottom"/>
            <w:gridSpan w:val="3"/>
          </w:tcPr>
          <w:p>
            <w:pPr>
              <w:ind w:left="180"/>
              <w:spacing w:after="0" w:line="112" w:lineRule="exact"/>
              <w:rPr>
                <w:sz w:val="20"/>
                <w:szCs w:val="20"/>
                <w:color w:val="auto"/>
              </w:rPr>
            </w:pPr>
            <w:r>
              <w:rPr>
                <w:rFonts w:ascii="Times New Roman" w:cs="Times New Roman" w:eastAsia="Times New Roman" w:hAnsi="Times New Roman"/>
                <w:sz w:val="10"/>
                <w:szCs w:val="10"/>
                <w:color w:val="auto"/>
              </w:rPr>
              <w:t>Western Australia</w:t>
            </w:r>
          </w:p>
        </w:tc>
        <w:tc>
          <w:tcPr>
            <w:tcW w:w="8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w w:val="79"/>
              </w:rPr>
              <w:t>4</w:t>
            </w:r>
          </w:p>
        </w:tc>
        <w:tc>
          <w:tcPr>
            <w:tcW w:w="180" w:type="dxa"/>
            <w:vAlign w:val="bottom"/>
          </w:tcPr>
          <w:p>
            <w:pPr>
              <w:spacing w:after="0"/>
              <w:rPr>
                <w:sz w:val="9"/>
                <w:szCs w:val="9"/>
                <w:color w:val="auto"/>
              </w:rPr>
            </w:pPr>
          </w:p>
        </w:tc>
        <w:tc>
          <w:tcPr>
            <w:tcW w:w="8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w w:val="99"/>
              </w:rPr>
              <w:t>27</w:t>
            </w:r>
          </w:p>
        </w:tc>
        <w:tc>
          <w:tcPr>
            <w:tcW w:w="160" w:type="dxa"/>
            <w:vAlign w:val="bottom"/>
          </w:tcPr>
          <w:p>
            <w:pPr>
              <w:spacing w:after="0"/>
              <w:rPr>
                <w:sz w:val="9"/>
                <w:szCs w:val="9"/>
                <w:color w:val="auto"/>
              </w:rPr>
            </w:pPr>
          </w:p>
        </w:tc>
        <w:tc>
          <w:tcPr>
            <w:tcW w:w="98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9"/>
                <w:szCs w:val="9"/>
                <w:color w:val="auto"/>
              </w:rPr>
            </w:pPr>
          </w:p>
        </w:tc>
        <w:tc>
          <w:tcPr>
            <w:tcW w:w="1060" w:type="dxa"/>
            <w:vAlign w:val="bottom"/>
            <w:gridSpan w:val="2"/>
          </w:tcPr>
          <w:p>
            <w:pPr>
              <w:jc w:val="center"/>
              <w:ind w:left="30"/>
              <w:spacing w:after="0" w:line="112" w:lineRule="exact"/>
              <w:rPr>
                <w:sz w:val="20"/>
                <w:szCs w:val="20"/>
                <w:color w:val="auto"/>
              </w:rPr>
            </w:pPr>
            <w:r>
              <w:rPr>
                <w:rFonts w:ascii="Times New Roman" w:cs="Times New Roman" w:eastAsia="Times New Roman" w:hAnsi="Times New Roman"/>
                <w:sz w:val="10"/>
                <w:szCs w:val="10"/>
                <w:color w:val="auto"/>
              </w:rPr>
              <w:t>1</w:t>
            </w:r>
          </w:p>
        </w:tc>
        <w:tc>
          <w:tcPr>
            <w:tcW w:w="160" w:type="dxa"/>
            <w:vAlign w:val="bottom"/>
          </w:tcPr>
          <w:p>
            <w:pPr>
              <w:spacing w:after="0"/>
              <w:rPr>
                <w:sz w:val="9"/>
                <w:szCs w:val="9"/>
                <w:color w:val="auto"/>
              </w:rPr>
            </w:pPr>
          </w:p>
        </w:tc>
        <w:tc>
          <w:tcPr>
            <w:tcW w:w="330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Reading Cinemas</w:t>
            </w:r>
          </w:p>
        </w:tc>
        <w:tc>
          <w:tcPr>
            <w:tcW w:w="0" w:type="dxa"/>
            <w:vAlign w:val="bottom"/>
          </w:tcPr>
          <w:p>
            <w:pPr>
              <w:spacing w:after="0"/>
              <w:rPr>
                <w:sz w:val="1"/>
                <w:szCs w:val="1"/>
                <w:color w:val="auto"/>
              </w:rPr>
            </w:pPr>
          </w:p>
        </w:tc>
      </w:tr>
      <w:tr>
        <w:trPr>
          <w:trHeight w:val="112"/>
        </w:trPr>
        <w:tc>
          <w:tcPr>
            <w:tcW w:w="1560" w:type="dxa"/>
            <w:vAlign w:val="bottom"/>
            <w:shd w:val="clear" w:color="auto" w:fill="CCEEFF"/>
          </w:tcPr>
          <w:p>
            <w:pPr>
              <w:spacing w:after="0"/>
              <w:rPr>
                <w:sz w:val="9"/>
                <w:szCs w:val="9"/>
                <w:color w:val="auto"/>
              </w:rPr>
            </w:pPr>
          </w:p>
        </w:tc>
        <w:tc>
          <w:tcPr>
            <w:tcW w:w="2180" w:type="dxa"/>
            <w:vAlign w:val="bottom"/>
            <w:gridSpan w:val="3"/>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South Australia</w:t>
            </w:r>
          </w:p>
        </w:tc>
        <w:tc>
          <w:tcPr>
            <w:tcW w:w="82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w w:val="79"/>
              </w:rPr>
              <w:t>2</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w w:val="99"/>
              </w:rPr>
              <w:t>15</w:t>
            </w: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30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Reading Cinemas</w:t>
            </w:r>
          </w:p>
        </w:tc>
        <w:tc>
          <w:tcPr>
            <w:tcW w:w="0" w:type="dxa"/>
            <w:vAlign w:val="bottom"/>
          </w:tcPr>
          <w:p>
            <w:pPr>
              <w:spacing w:after="0"/>
              <w:rPr>
                <w:sz w:val="1"/>
                <w:szCs w:val="1"/>
                <w:color w:val="auto"/>
              </w:rPr>
            </w:pPr>
          </w:p>
        </w:tc>
      </w:tr>
      <w:tr>
        <w:trPr>
          <w:trHeight w:val="112"/>
        </w:trPr>
        <w:tc>
          <w:tcPr>
            <w:tcW w:w="156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gridSpan w:val="3"/>
          </w:tcPr>
          <w:p>
            <w:pPr>
              <w:ind w:left="180"/>
              <w:spacing w:after="0" w:line="112" w:lineRule="exact"/>
              <w:rPr>
                <w:sz w:val="20"/>
                <w:szCs w:val="20"/>
                <w:color w:val="auto"/>
              </w:rPr>
            </w:pPr>
            <w:r>
              <w:rPr>
                <w:rFonts w:ascii="Times New Roman" w:cs="Times New Roman" w:eastAsia="Times New Roman" w:hAnsi="Times New Roman"/>
                <w:sz w:val="10"/>
                <w:szCs w:val="10"/>
                <w:color w:val="auto"/>
              </w:rPr>
              <w:t>Tasmania</w:t>
            </w:r>
          </w:p>
        </w:tc>
        <w:tc>
          <w:tcPr>
            <w:tcW w:w="820" w:type="dxa"/>
            <w:vAlign w:val="bottom"/>
            <w:tcBorders>
              <w:bottom w:val="single" w:sz="8" w:color="auto"/>
            </w:tcBorders>
          </w:tcPr>
          <w:p>
            <w:pPr>
              <w:jc w:val="center"/>
              <w:spacing w:after="0" w:line="112" w:lineRule="exact"/>
              <w:rPr>
                <w:sz w:val="20"/>
                <w:szCs w:val="20"/>
                <w:color w:val="auto"/>
              </w:rPr>
            </w:pPr>
            <w:r>
              <w:rPr>
                <w:rFonts w:ascii="Times New Roman" w:cs="Times New Roman" w:eastAsia="Times New Roman" w:hAnsi="Times New Roman"/>
                <w:sz w:val="10"/>
                <w:szCs w:val="10"/>
                <w:color w:val="auto"/>
                <w:w w:val="79"/>
              </w:rPr>
              <w:t>2</w:t>
            </w: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center"/>
              <w:spacing w:after="0" w:line="112" w:lineRule="exact"/>
              <w:rPr>
                <w:sz w:val="20"/>
                <w:szCs w:val="20"/>
                <w:color w:val="auto"/>
              </w:rPr>
            </w:pPr>
            <w:r>
              <w:rPr>
                <w:rFonts w:ascii="Times New Roman" w:cs="Times New Roman" w:eastAsia="Times New Roman" w:hAnsi="Times New Roman"/>
                <w:sz w:val="10"/>
                <w:szCs w:val="10"/>
                <w:color w:val="auto"/>
                <w:w w:val="99"/>
              </w:rPr>
              <w:t>14</w:t>
            </w: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center"/>
              <w:spacing w:after="0" w:line="112" w:lineRule="exact"/>
              <w:rPr>
                <w:sz w:val="20"/>
                <w:szCs w:val="20"/>
                <w:color w:val="auto"/>
              </w:rPr>
            </w:pPr>
            <w:r>
              <w:rPr>
                <w:rFonts w:ascii="Times New Roman" w:cs="Times New Roman" w:eastAsia="Times New Roman" w:hAnsi="Times New Roman"/>
                <w:sz w:val="10"/>
                <w:szCs w:val="10"/>
                <w:color w:val="auto"/>
              </w:rPr>
              <w:t>2</w:t>
            </w: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tcPr>
          <w:p>
            <w:pPr>
              <w:spacing w:after="0" w:line="112" w:lineRule="exact"/>
              <w:rPr>
                <w:sz w:val="20"/>
                <w:szCs w:val="20"/>
                <w:color w:val="auto"/>
              </w:rPr>
            </w:pPr>
            <w:r>
              <w:rPr>
                <w:rFonts w:ascii="Times New Roman" w:cs="Times New Roman" w:eastAsia="Times New Roman" w:hAnsi="Times New Roman"/>
                <w:sz w:val="10"/>
                <w:szCs w:val="10"/>
                <w:color w:val="auto"/>
              </w:rPr>
              <w:t>Reading Cinemas, State Cinema by Angelika</w:t>
            </w:r>
          </w:p>
        </w:tc>
        <w:tc>
          <w:tcPr>
            <w:tcW w:w="0" w:type="dxa"/>
            <w:vAlign w:val="bottom"/>
          </w:tcPr>
          <w:p>
            <w:pPr>
              <w:spacing w:after="0"/>
              <w:rPr>
                <w:sz w:val="1"/>
                <w:szCs w:val="1"/>
                <w:color w:val="auto"/>
              </w:rPr>
            </w:pPr>
          </w:p>
        </w:tc>
      </w:tr>
      <w:tr>
        <w:trPr>
          <w:trHeight w:val="101"/>
        </w:trPr>
        <w:tc>
          <w:tcPr>
            <w:tcW w:w="156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2000" w:type="dxa"/>
            <w:vAlign w:val="bottom"/>
            <w:tcBorders>
              <w:bottom w:val="single" w:sz="8" w:color="auto"/>
            </w:tcBorders>
            <w:gridSpan w:val="2"/>
            <w:shd w:val="clear" w:color="auto" w:fill="CCEEFF"/>
          </w:tcPr>
          <w:p>
            <w:pPr>
              <w:ind w:left="60"/>
              <w:spacing w:after="0" w:line="101" w:lineRule="exact"/>
              <w:rPr>
                <w:sz w:val="20"/>
                <w:szCs w:val="20"/>
                <w:color w:val="auto"/>
              </w:rPr>
            </w:pPr>
            <w:r>
              <w:rPr>
                <w:rFonts w:ascii="Times New Roman" w:cs="Times New Roman" w:eastAsia="Times New Roman" w:hAnsi="Times New Roman"/>
                <w:sz w:val="10"/>
                <w:szCs w:val="10"/>
                <w:b w:val="1"/>
                <w:bCs w:val="1"/>
                <w:i w:val="1"/>
                <w:iCs w:val="1"/>
                <w:color w:val="auto"/>
              </w:rPr>
              <w:t>Australia Total</w:t>
            </w:r>
          </w:p>
        </w:tc>
        <w:tc>
          <w:tcPr>
            <w:tcW w:w="820" w:type="dxa"/>
            <w:vAlign w:val="bottom"/>
            <w:tcBorders>
              <w:bottom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w w:val="99"/>
              </w:rPr>
              <w:t>30</w:t>
            </w:r>
          </w:p>
        </w:tc>
        <w:tc>
          <w:tcPr>
            <w:tcW w:w="18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w w:val="93"/>
              </w:rPr>
              <w:t>226</w:t>
            </w:r>
          </w:p>
        </w:tc>
        <w:tc>
          <w:tcPr>
            <w:tcW w:w="160" w:type="dxa"/>
            <w:vAlign w:val="bottom"/>
            <w:tcBorders>
              <w:bottom w:val="single" w:sz="8" w:color="auto"/>
            </w:tcBorders>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w w:val="99"/>
              </w:rPr>
              <w:t>27</w:t>
            </w:r>
          </w:p>
        </w:tc>
        <w:tc>
          <w:tcPr>
            <w:tcW w:w="80" w:type="dxa"/>
            <w:vAlign w:val="bottom"/>
            <w:tcBorders>
              <w:bottom w:val="single" w:sz="8" w:color="auto"/>
            </w:tcBorders>
            <w:shd w:val="clear" w:color="auto" w:fill="CCEEFF"/>
          </w:tcPr>
          <w:p>
            <w:pPr>
              <w:spacing w:after="0"/>
              <w:rPr>
                <w:sz w:val="8"/>
                <w:szCs w:val="8"/>
                <w:color w:val="auto"/>
              </w:rPr>
            </w:pPr>
          </w:p>
        </w:tc>
        <w:tc>
          <w:tcPr>
            <w:tcW w:w="1060" w:type="dxa"/>
            <w:vAlign w:val="bottom"/>
            <w:tcBorders>
              <w:bottom w:val="single" w:sz="8" w:color="auto"/>
            </w:tcBorders>
            <w:gridSpan w:val="2"/>
            <w:shd w:val="clear" w:color="auto" w:fill="CCEEFF"/>
          </w:tcPr>
          <w:p>
            <w:pPr>
              <w:jc w:val="center"/>
              <w:ind w:left="30"/>
              <w:spacing w:after="0" w:line="101" w:lineRule="exact"/>
              <w:rPr>
                <w:sz w:val="20"/>
                <w:szCs w:val="20"/>
                <w:color w:val="auto"/>
              </w:rPr>
            </w:pPr>
            <w:r>
              <w:rPr>
                <w:rFonts w:ascii="Times New Roman" w:cs="Times New Roman" w:eastAsia="Times New Roman" w:hAnsi="Times New Roman"/>
                <w:sz w:val="10"/>
                <w:szCs w:val="10"/>
                <w:b w:val="1"/>
                <w:bCs w:val="1"/>
                <w:color w:val="auto"/>
              </w:rPr>
              <w:t>3</w:t>
            </w:r>
          </w:p>
        </w:tc>
        <w:tc>
          <w:tcPr>
            <w:tcW w:w="160" w:type="dxa"/>
            <w:vAlign w:val="bottom"/>
            <w:tcBorders>
              <w:bottom w:val="single" w:sz="8" w:color="auto"/>
            </w:tcBorders>
            <w:shd w:val="clear" w:color="auto" w:fill="CCEEFF"/>
          </w:tcPr>
          <w:p>
            <w:pPr>
              <w:spacing w:after="0"/>
              <w:rPr>
                <w:sz w:val="8"/>
                <w:szCs w:val="8"/>
                <w:color w:val="auto"/>
              </w:rPr>
            </w:pPr>
          </w:p>
        </w:tc>
        <w:tc>
          <w:tcPr>
            <w:tcW w:w="330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60" w:type="dxa"/>
            <w:vAlign w:val="bottom"/>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New Zealand</w:t>
            </w:r>
          </w:p>
        </w:tc>
        <w:tc>
          <w:tcPr>
            <w:tcW w:w="2180" w:type="dxa"/>
            <w:vAlign w:val="bottom"/>
            <w:gridSpan w:val="3"/>
          </w:tcPr>
          <w:p>
            <w:pPr>
              <w:ind w:left="180"/>
              <w:spacing w:after="0" w:line="101" w:lineRule="exact"/>
              <w:rPr>
                <w:sz w:val="20"/>
                <w:szCs w:val="20"/>
                <w:color w:val="auto"/>
              </w:rPr>
            </w:pPr>
            <w:r>
              <w:rPr>
                <w:rFonts w:ascii="Times New Roman" w:cs="Times New Roman" w:eastAsia="Times New Roman" w:hAnsi="Times New Roman"/>
                <w:sz w:val="10"/>
                <w:szCs w:val="10"/>
                <w:color w:val="auto"/>
              </w:rPr>
              <w:t>Wellington</w:t>
            </w:r>
          </w:p>
        </w:tc>
        <w:tc>
          <w:tcPr>
            <w:tcW w:w="820" w:type="dxa"/>
            <w:vAlign w:val="bottom"/>
          </w:tcPr>
          <w:p>
            <w:pPr>
              <w:jc w:val="center"/>
              <w:spacing w:after="0" w:line="101" w:lineRule="exact"/>
              <w:rPr>
                <w:sz w:val="20"/>
                <w:szCs w:val="20"/>
                <w:color w:val="auto"/>
              </w:rPr>
            </w:pPr>
            <w:r>
              <w:rPr>
                <w:rFonts w:ascii="Times New Roman" w:cs="Times New Roman" w:eastAsia="Times New Roman" w:hAnsi="Times New Roman"/>
                <w:sz w:val="10"/>
                <w:szCs w:val="10"/>
                <w:color w:val="auto"/>
                <w:w w:val="79"/>
              </w:rPr>
              <w:t>2</w:t>
            </w:r>
          </w:p>
        </w:tc>
        <w:tc>
          <w:tcPr>
            <w:tcW w:w="18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Times New Roman" w:cs="Times New Roman" w:eastAsia="Times New Roman" w:hAnsi="Times New Roman"/>
                <w:sz w:val="10"/>
                <w:szCs w:val="10"/>
                <w:color w:val="auto"/>
                <w:w w:val="99"/>
              </w:rPr>
              <w:t>15</w:t>
            </w:r>
          </w:p>
        </w:tc>
        <w:tc>
          <w:tcPr>
            <w:tcW w:w="160" w:type="dxa"/>
            <w:vAlign w:val="bottom"/>
          </w:tcPr>
          <w:p>
            <w:pPr>
              <w:spacing w:after="0"/>
              <w:rPr>
                <w:sz w:val="8"/>
                <w:szCs w:val="8"/>
                <w:color w:val="auto"/>
              </w:rPr>
            </w:pPr>
          </w:p>
        </w:tc>
        <w:tc>
          <w:tcPr>
            <w:tcW w:w="980" w:type="dxa"/>
            <w:vAlign w:val="bottom"/>
          </w:tcPr>
          <w:p>
            <w:pPr>
              <w:jc w:val="center"/>
              <w:spacing w:after="0" w:line="101" w:lineRule="exact"/>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300" w:type="dxa"/>
            <w:vAlign w:val="bottom"/>
          </w:tcPr>
          <w:p>
            <w:pPr>
              <w:spacing w:after="0" w:line="101" w:lineRule="exact"/>
              <w:rPr>
                <w:sz w:val="20"/>
                <w:szCs w:val="20"/>
                <w:color w:val="auto"/>
              </w:rPr>
            </w:pPr>
            <w:r>
              <w:rPr>
                <w:rFonts w:ascii="Times New Roman" w:cs="Times New Roman" w:eastAsia="Times New Roman" w:hAnsi="Times New Roman"/>
                <w:sz w:val="10"/>
                <w:szCs w:val="10"/>
                <w:color w:val="auto"/>
              </w:rPr>
              <w:t>Reading Cinemas</w:t>
            </w:r>
          </w:p>
        </w:tc>
        <w:tc>
          <w:tcPr>
            <w:tcW w:w="0" w:type="dxa"/>
            <w:vAlign w:val="bottom"/>
          </w:tcPr>
          <w:p>
            <w:pPr>
              <w:spacing w:after="0"/>
              <w:rPr>
                <w:sz w:val="1"/>
                <w:szCs w:val="1"/>
                <w:color w:val="auto"/>
              </w:rPr>
            </w:pPr>
          </w:p>
        </w:tc>
      </w:tr>
      <w:tr>
        <w:trPr>
          <w:trHeight w:val="140"/>
        </w:trPr>
        <w:tc>
          <w:tcPr>
            <w:tcW w:w="156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Otago</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79"/>
              </w:rPr>
              <w:t>2</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12</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0"/>
                <w:szCs w:val="10"/>
                <w:color w:val="auto"/>
              </w:rPr>
              <w:t>Reading Cinemas, Rialto Cinemas</w:t>
            </w:r>
            <w:r>
              <w:rPr>
                <w:rFonts w:ascii="Times New Roman" w:cs="Times New Roman" w:eastAsia="Times New Roman" w:hAnsi="Times New Roman"/>
                <w:sz w:val="16"/>
                <w:szCs w:val="16"/>
                <w:color w:val="auto"/>
                <w:vertAlign w:val="superscript"/>
              </w:rPr>
              <w:t>(2)</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2180" w:type="dxa"/>
            <w:vAlign w:val="bottom"/>
            <w:gridSpan w:val="3"/>
          </w:tcPr>
          <w:p>
            <w:pPr>
              <w:ind w:left="180"/>
              <w:spacing w:after="0"/>
              <w:rPr>
                <w:sz w:val="20"/>
                <w:szCs w:val="20"/>
                <w:color w:val="auto"/>
              </w:rPr>
            </w:pPr>
            <w:r>
              <w:rPr>
                <w:rFonts w:ascii="Times New Roman" w:cs="Times New Roman" w:eastAsia="Times New Roman" w:hAnsi="Times New Roman"/>
                <w:sz w:val="10"/>
                <w:szCs w:val="10"/>
                <w:color w:val="auto"/>
              </w:rPr>
              <w:t>Auckland</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9"/>
              </w:rPr>
              <w:t>2</w:t>
            </w:r>
          </w:p>
        </w:tc>
        <w:tc>
          <w:tcPr>
            <w:tcW w:w="18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15</w:t>
            </w:r>
          </w:p>
        </w:tc>
        <w:tc>
          <w:tcPr>
            <w:tcW w:w="16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00" w:type="dxa"/>
            <w:vAlign w:val="bottom"/>
          </w:tcPr>
          <w:p>
            <w:pPr>
              <w:spacing w:after="0" w:line="140" w:lineRule="exact"/>
              <w:rPr>
                <w:sz w:val="20"/>
                <w:szCs w:val="20"/>
                <w:color w:val="auto"/>
              </w:rPr>
            </w:pPr>
            <w:r>
              <w:rPr>
                <w:rFonts w:ascii="Times New Roman" w:cs="Times New Roman" w:eastAsia="Times New Roman" w:hAnsi="Times New Roman"/>
                <w:sz w:val="10"/>
                <w:szCs w:val="10"/>
                <w:color w:val="auto"/>
              </w:rPr>
              <w:t>Reading Cinemas, Rialto Cinemas</w:t>
            </w:r>
            <w:r>
              <w:rPr>
                <w:rFonts w:ascii="Times New Roman" w:cs="Times New Roman" w:eastAsia="Times New Roman" w:hAnsi="Times New Roman"/>
                <w:sz w:val="16"/>
                <w:szCs w:val="16"/>
                <w:color w:val="auto"/>
                <w:vertAlign w:val="superscript"/>
              </w:rPr>
              <w:t>(2)</w:t>
            </w:r>
          </w:p>
        </w:tc>
        <w:tc>
          <w:tcPr>
            <w:tcW w:w="0" w:type="dxa"/>
            <w:vAlign w:val="bottom"/>
          </w:tcPr>
          <w:p>
            <w:pPr>
              <w:spacing w:after="0"/>
              <w:rPr>
                <w:sz w:val="1"/>
                <w:szCs w:val="1"/>
                <w:color w:val="auto"/>
              </w:rPr>
            </w:pPr>
          </w:p>
        </w:tc>
      </w:tr>
      <w:tr>
        <w:trPr>
          <w:trHeight w:val="112"/>
        </w:trPr>
        <w:tc>
          <w:tcPr>
            <w:tcW w:w="1560" w:type="dxa"/>
            <w:vAlign w:val="bottom"/>
            <w:shd w:val="clear" w:color="auto" w:fill="CCEEFF"/>
          </w:tcPr>
          <w:p>
            <w:pPr>
              <w:spacing w:after="0"/>
              <w:rPr>
                <w:sz w:val="9"/>
                <w:szCs w:val="9"/>
                <w:color w:val="auto"/>
              </w:rPr>
            </w:pPr>
          </w:p>
        </w:tc>
        <w:tc>
          <w:tcPr>
            <w:tcW w:w="2180" w:type="dxa"/>
            <w:vAlign w:val="bottom"/>
            <w:gridSpan w:val="3"/>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Canterbury</w:t>
            </w:r>
          </w:p>
        </w:tc>
        <w:tc>
          <w:tcPr>
            <w:tcW w:w="82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w w:val="79"/>
              </w:rPr>
              <w:t>1</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rPr>
              <w:t>8</w:t>
            </w: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30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Reading Cinemas</w:t>
            </w:r>
          </w:p>
        </w:tc>
        <w:tc>
          <w:tcPr>
            <w:tcW w:w="0" w:type="dxa"/>
            <w:vAlign w:val="bottom"/>
          </w:tcPr>
          <w:p>
            <w:pPr>
              <w:spacing w:after="0"/>
              <w:rPr>
                <w:sz w:val="1"/>
                <w:szCs w:val="1"/>
                <w:color w:val="auto"/>
              </w:rPr>
            </w:pPr>
          </w:p>
        </w:tc>
      </w:tr>
      <w:tr>
        <w:trPr>
          <w:trHeight w:val="112"/>
        </w:trPr>
        <w:tc>
          <w:tcPr>
            <w:tcW w:w="1560" w:type="dxa"/>
            <w:vAlign w:val="bottom"/>
          </w:tcPr>
          <w:p>
            <w:pPr>
              <w:spacing w:after="0"/>
              <w:rPr>
                <w:sz w:val="9"/>
                <w:szCs w:val="9"/>
                <w:color w:val="auto"/>
              </w:rPr>
            </w:pPr>
          </w:p>
        </w:tc>
        <w:tc>
          <w:tcPr>
            <w:tcW w:w="2180" w:type="dxa"/>
            <w:vAlign w:val="bottom"/>
            <w:gridSpan w:val="3"/>
          </w:tcPr>
          <w:p>
            <w:pPr>
              <w:ind w:left="180"/>
              <w:spacing w:after="0" w:line="112" w:lineRule="exact"/>
              <w:rPr>
                <w:sz w:val="20"/>
                <w:szCs w:val="20"/>
                <w:color w:val="auto"/>
              </w:rPr>
            </w:pPr>
            <w:r>
              <w:rPr>
                <w:rFonts w:ascii="Times New Roman" w:cs="Times New Roman" w:eastAsia="Times New Roman" w:hAnsi="Times New Roman"/>
                <w:sz w:val="10"/>
                <w:szCs w:val="10"/>
                <w:color w:val="auto"/>
              </w:rPr>
              <w:t>Southland</w:t>
            </w:r>
          </w:p>
        </w:tc>
        <w:tc>
          <w:tcPr>
            <w:tcW w:w="8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w w:val="79"/>
              </w:rPr>
              <w:t>1</w:t>
            </w:r>
          </w:p>
        </w:tc>
        <w:tc>
          <w:tcPr>
            <w:tcW w:w="180" w:type="dxa"/>
            <w:vAlign w:val="bottom"/>
          </w:tcPr>
          <w:p>
            <w:pPr>
              <w:spacing w:after="0"/>
              <w:rPr>
                <w:sz w:val="9"/>
                <w:szCs w:val="9"/>
                <w:color w:val="auto"/>
              </w:rPr>
            </w:pPr>
          </w:p>
        </w:tc>
        <w:tc>
          <w:tcPr>
            <w:tcW w:w="82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rPr>
              <w:t>5</w:t>
            </w:r>
          </w:p>
        </w:tc>
        <w:tc>
          <w:tcPr>
            <w:tcW w:w="160" w:type="dxa"/>
            <w:vAlign w:val="bottom"/>
          </w:tcPr>
          <w:p>
            <w:pPr>
              <w:spacing w:after="0"/>
              <w:rPr>
                <w:sz w:val="9"/>
                <w:szCs w:val="9"/>
                <w:color w:val="auto"/>
              </w:rPr>
            </w:pPr>
          </w:p>
        </w:tc>
        <w:tc>
          <w:tcPr>
            <w:tcW w:w="98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30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Reading Cinemas</w:t>
            </w:r>
          </w:p>
        </w:tc>
        <w:tc>
          <w:tcPr>
            <w:tcW w:w="0" w:type="dxa"/>
            <w:vAlign w:val="bottom"/>
          </w:tcPr>
          <w:p>
            <w:pPr>
              <w:spacing w:after="0"/>
              <w:rPr>
                <w:sz w:val="1"/>
                <w:szCs w:val="1"/>
                <w:color w:val="auto"/>
              </w:rPr>
            </w:pPr>
          </w:p>
        </w:tc>
      </w:tr>
      <w:tr>
        <w:trPr>
          <w:trHeight w:val="112"/>
        </w:trPr>
        <w:tc>
          <w:tcPr>
            <w:tcW w:w="1560" w:type="dxa"/>
            <w:vAlign w:val="bottom"/>
            <w:shd w:val="clear" w:color="auto" w:fill="CCEEFF"/>
          </w:tcPr>
          <w:p>
            <w:pPr>
              <w:spacing w:after="0"/>
              <w:rPr>
                <w:sz w:val="9"/>
                <w:szCs w:val="9"/>
                <w:color w:val="auto"/>
              </w:rPr>
            </w:pPr>
          </w:p>
        </w:tc>
        <w:tc>
          <w:tcPr>
            <w:tcW w:w="2180" w:type="dxa"/>
            <w:vAlign w:val="bottom"/>
            <w:gridSpan w:val="3"/>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Bay of Plenty</w:t>
            </w:r>
          </w:p>
        </w:tc>
        <w:tc>
          <w:tcPr>
            <w:tcW w:w="82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w w:val="79"/>
              </w:rPr>
              <w:t>1</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jc w:val="center"/>
              <w:spacing w:after="0" w:line="112" w:lineRule="exact"/>
              <w:rPr>
                <w:sz w:val="20"/>
                <w:szCs w:val="20"/>
                <w:color w:val="auto"/>
              </w:rPr>
            </w:pPr>
            <w:r>
              <w:rPr>
                <w:rFonts w:ascii="Times New Roman" w:cs="Times New Roman" w:eastAsia="Times New Roman" w:hAnsi="Times New Roman"/>
                <w:sz w:val="10"/>
                <w:szCs w:val="10"/>
                <w:color w:val="auto"/>
              </w:rPr>
              <w:t>5</w:t>
            </w: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center"/>
              <w:ind w:left="30"/>
              <w:spacing w:after="0" w:line="112" w:lineRule="exact"/>
              <w:rPr>
                <w:sz w:val="20"/>
                <w:szCs w:val="20"/>
                <w:color w:val="auto"/>
              </w:rPr>
            </w:pP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9"/>
                <w:szCs w:val="9"/>
                <w:color w:val="auto"/>
              </w:rPr>
            </w:pPr>
          </w:p>
        </w:tc>
        <w:tc>
          <w:tcPr>
            <w:tcW w:w="330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Reading Cinemas</w:t>
            </w:r>
          </w:p>
        </w:tc>
        <w:tc>
          <w:tcPr>
            <w:tcW w:w="0" w:type="dxa"/>
            <w:vAlign w:val="bottom"/>
          </w:tcPr>
          <w:p>
            <w:pPr>
              <w:spacing w:after="0"/>
              <w:rPr>
                <w:sz w:val="1"/>
                <w:szCs w:val="1"/>
                <w:color w:val="auto"/>
              </w:rPr>
            </w:pPr>
          </w:p>
        </w:tc>
      </w:tr>
      <w:tr>
        <w:trPr>
          <w:trHeight w:val="112"/>
        </w:trPr>
        <w:tc>
          <w:tcPr>
            <w:tcW w:w="156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gridSpan w:val="3"/>
          </w:tcPr>
          <w:p>
            <w:pPr>
              <w:ind w:left="180"/>
              <w:spacing w:after="0" w:line="112" w:lineRule="exact"/>
              <w:rPr>
                <w:sz w:val="20"/>
                <w:szCs w:val="20"/>
                <w:color w:val="auto"/>
              </w:rPr>
            </w:pPr>
            <w:r>
              <w:rPr>
                <w:rFonts w:ascii="Times New Roman" w:cs="Times New Roman" w:eastAsia="Times New Roman" w:hAnsi="Times New Roman"/>
                <w:sz w:val="10"/>
                <w:szCs w:val="10"/>
                <w:color w:val="auto"/>
              </w:rPr>
              <w:t>Hawke's Bay</w:t>
            </w:r>
          </w:p>
        </w:tc>
        <w:tc>
          <w:tcPr>
            <w:tcW w:w="820" w:type="dxa"/>
            <w:vAlign w:val="bottom"/>
            <w:tcBorders>
              <w:bottom w:val="single" w:sz="8" w:color="auto"/>
            </w:tcBorders>
          </w:tcPr>
          <w:p>
            <w:pPr>
              <w:jc w:val="center"/>
              <w:spacing w:after="0" w:line="112" w:lineRule="exact"/>
              <w:rPr>
                <w:sz w:val="20"/>
                <w:szCs w:val="20"/>
                <w:color w:val="auto"/>
              </w:rPr>
            </w:pPr>
            <w:r>
              <w:rPr>
                <w:rFonts w:ascii="Times New Roman" w:cs="Times New Roman" w:eastAsia="Times New Roman" w:hAnsi="Times New Roman"/>
                <w:sz w:val="10"/>
                <w:szCs w:val="10"/>
                <w:color w:val="auto"/>
                <w:w w:val="79"/>
              </w:rPr>
              <w:t>1</w:t>
            </w: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center"/>
              <w:spacing w:after="0" w:line="112" w:lineRule="exact"/>
              <w:rPr>
                <w:sz w:val="20"/>
                <w:szCs w:val="20"/>
                <w:color w:val="auto"/>
              </w:rPr>
            </w:pPr>
            <w:r>
              <w:rPr>
                <w:rFonts w:ascii="Times New Roman" w:cs="Times New Roman" w:eastAsia="Times New Roman" w:hAnsi="Times New Roman"/>
                <w:sz w:val="10"/>
                <w:szCs w:val="10"/>
                <w:color w:val="auto"/>
              </w:rPr>
              <w:t>4</w:t>
            </w: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gridSpan w:val="2"/>
          </w:tcPr>
          <w:p>
            <w:pPr>
              <w:jc w:val="center"/>
              <w:ind w:left="30"/>
              <w:spacing w:after="0" w:line="112" w:lineRule="exact"/>
              <w:rPr>
                <w:sz w:val="20"/>
                <w:szCs w:val="20"/>
                <w:color w:val="auto"/>
              </w:rPr>
            </w:pPr>
            <w:r>
              <w:rPr>
                <w:rFonts w:ascii="Times New Roman" w:cs="Times New Roman" w:eastAsia="Times New Roman" w:hAnsi="Times New Roman"/>
                <w:sz w:val="10"/>
                <w:szCs w:val="10"/>
                <w:color w:val="auto"/>
              </w:rPr>
              <w:t>1</w:t>
            </w:r>
          </w:p>
        </w:tc>
        <w:tc>
          <w:tcPr>
            <w:tcW w:w="16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tcPr>
          <w:p>
            <w:pPr>
              <w:spacing w:after="0" w:line="112" w:lineRule="exact"/>
              <w:rPr>
                <w:sz w:val="20"/>
                <w:szCs w:val="20"/>
                <w:color w:val="auto"/>
              </w:rPr>
            </w:pPr>
            <w:r>
              <w:rPr>
                <w:rFonts w:ascii="Times New Roman" w:cs="Times New Roman" w:eastAsia="Times New Roman" w:hAnsi="Times New Roman"/>
                <w:sz w:val="10"/>
                <w:szCs w:val="10"/>
                <w:color w:val="auto"/>
              </w:rPr>
              <w:t>Reading Cinemas</w:t>
            </w:r>
          </w:p>
        </w:tc>
        <w:tc>
          <w:tcPr>
            <w:tcW w:w="0" w:type="dxa"/>
            <w:vAlign w:val="bottom"/>
          </w:tcPr>
          <w:p>
            <w:pPr>
              <w:spacing w:after="0"/>
              <w:rPr>
                <w:sz w:val="1"/>
                <w:szCs w:val="1"/>
                <w:color w:val="auto"/>
              </w:rPr>
            </w:pPr>
          </w:p>
        </w:tc>
      </w:tr>
      <w:tr>
        <w:trPr>
          <w:trHeight w:val="101"/>
        </w:trPr>
        <w:tc>
          <w:tcPr>
            <w:tcW w:w="156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2000" w:type="dxa"/>
            <w:vAlign w:val="bottom"/>
            <w:tcBorders>
              <w:bottom w:val="single" w:sz="8" w:color="auto"/>
            </w:tcBorders>
            <w:gridSpan w:val="2"/>
            <w:shd w:val="clear" w:color="auto" w:fill="CCEEFF"/>
          </w:tcPr>
          <w:p>
            <w:pPr>
              <w:ind w:left="60"/>
              <w:spacing w:after="0" w:line="101" w:lineRule="exact"/>
              <w:rPr>
                <w:sz w:val="20"/>
                <w:szCs w:val="20"/>
                <w:color w:val="auto"/>
              </w:rPr>
            </w:pPr>
            <w:r>
              <w:rPr>
                <w:rFonts w:ascii="Times New Roman" w:cs="Times New Roman" w:eastAsia="Times New Roman" w:hAnsi="Times New Roman"/>
                <w:sz w:val="10"/>
                <w:szCs w:val="10"/>
                <w:b w:val="1"/>
                <w:bCs w:val="1"/>
                <w:i w:val="1"/>
                <w:iCs w:val="1"/>
                <w:color w:val="auto"/>
              </w:rPr>
              <w:t>New Zealand Total</w:t>
            </w:r>
          </w:p>
        </w:tc>
        <w:tc>
          <w:tcPr>
            <w:tcW w:w="820" w:type="dxa"/>
            <w:vAlign w:val="bottom"/>
            <w:tcBorders>
              <w:bottom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w w:val="99"/>
              </w:rPr>
              <w:t>10</w:t>
            </w:r>
          </w:p>
        </w:tc>
        <w:tc>
          <w:tcPr>
            <w:tcW w:w="18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w w:val="99"/>
              </w:rPr>
              <w:t>64</w:t>
            </w:r>
          </w:p>
        </w:tc>
        <w:tc>
          <w:tcPr>
            <w:tcW w:w="160" w:type="dxa"/>
            <w:vAlign w:val="bottom"/>
            <w:tcBorders>
              <w:bottom w:val="single" w:sz="8" w:color="auto"/>
            </w:tcBorders>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rPr>
              <w:t>7</w:t>
            </w:r>
          </w:p>
        </w:tc>
        <w:tc>
          <w:tcPr>
            <w:tcW w:w="80" w:type="dxa"/>
            <w:vAlign w:val="bottom"/>
            <w:tcBorders>
              <w:bottom w:val="single" w:sz="8" w:color="auto"/>
            </w:tcBorders>
            <w:shd w:val="clear" w:color="auto" w:fill="CCEEFF"/>
          </w:tcPr>
          <w:p>
            <w:pPr>
              <w:spacing w:after="0"/>
              <w:rPr>
                <w:sz w:val="8"/>
                <w:szCs w:val="8"/>
                <w:color w:val="auto"/>
              </w:rPr>
            </w:pPr>
          </w:p>
        </w:tc>
        <w:tc>
          <w:tcPr>
            <w:tcW w:w="1060" w:type="dxa"/>
            <w:vAlign w:val="bottom"/>
            <w:tcBorders>
              <w:bottom w:val="single" w:sz="8" w:color="auto"/>
            </w:tcBorders>
            <w:gridSpan w:val="2"/>
            <w:shd w:val="clear" w:color="auto" w:fill="CCEEFF"/>
          </w:tcPr>
          <w:p>
            <w:pPr>
              <w:jc w:val="center"/>
              <w:ind w:left="30"/>
              <w:spacing w:after="0" w:line="101" w:lineRule="exact"/>
              <w:rPr>
                <w:sz w:val="20"/>
                <w:szCs w:val="20"/>
                <w:color w:val="auto"/>
              </w:rPr>
            </w:pPr>
            <w:r>
              <w:rPr>
                <w:rFonts w:ascii="Times New Roman" w:cs="Times New Roman" w:eastAsia="Times New Roman" w:hAnsi="Times New Roman"/>
                <w:sz w:val="10"/>
                <w:szCs w:val="10"/>
                <w:b w:val="1"/>
                <w:bCs w:val="1"/>
                <w:color w:val="auto"/>
              </w:rPr>
              <w:t>3</w:t>
            </w:r>
          </w:p>
        </w:tc>
        <w:tc>
          <w:tcPr>
            <w:tcW w:w="160" w:type="dxa"/>
            <w:vAlign w:val="bottom"/>
            <w:tcBorders>
              <w:bottom w:val="single" w:sz="8" w:color="auto"/>
            </w:tcBorders>
            <w:shd w:val="clear" w:color="auto" w:fill="CCEEFF"/>
          </w:tcPr>
          <w:p>
            <w:pPr>
              <w:spacing w:after="0"/>
              <w:rPr>
                <w:sz w:val="8"/>
                <w:szCs w:val="8"/>
                <w:color w:val="auto"/>
              </w:rPr>
            </w:pPr>
          </w:p>
        </w:tc>
        <w:tc>
          <w:tcPr>
            <w:tcW w:w="330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60" w:type="dxa"/>
            <w:vAlign w:val="bottom"/>
            <w:tcBorders>
              <w:bottom w:val="single" w:sz="8" w:color="auto"/>
            </w:tcBorders>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GRAND TOTAL</w:t>
            </w:r>
          </w:p>
        </w:tc>
        <w:tc>
          <w:tcPr>
            <w:tcW w:w="18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w w:val="99"/>
              </w:rPr>
              <w:t>58</w:t>
            </w: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w w:val="93"/>
              </w:rPr>
              <w:t>469</w:t>
            </w: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w w:val="99"/>
              </w:rPr>
              <w:t>51</w:t>
            </w:r>
          </w:p>
        </w:tc>
        <w:tc>
          <w:tcPr>
            <w:tcW w:w="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jc w:val="center"/>
              <w:ind w:left="30"/>
              <w:spacing w:after="0" w:line="101" w:lineRule="exact"/>
              <w:rPr>
                <w:sz w:val="20"/>
                <w:szCs w:val="20"/>
                <w:color w:val="auto"/>
              </w:rPr>
            </w:pPr>
            <w:r>
              <w:rPr>
                <w:rFonts w:ascii="Times New Roman" w:cs="Times New Roman" w:eastAsia="Times New Roman" w:hAnsi="Times New Roman"/>
                <w:sz w:val="10"/>
                <w:szCs w:val="10"/>
                <w:b w:val="1"/>
                <w:bCs w:val="1"/>
                <w:color w:val="auto"/>
              </w:rPr>
              <w:t>7</w:t>
            </w:r>
          </w:p>
        </w:tc>
        <w:tc>
          <w:tcPr>
            <w:tcW w:w="160" w:type="dxa"/>
            <w:vAlign w:val="bottom"/>
            <w:tcBorders>
              <w:bottom w:val="single" w:sz="8" w:color="auto"/>
            </w:tcBorders>
          </w:tcPr>
          <w:p>
            <w:pPr>
              <w:spacing w:after="0"/>
              <w:rPr>
                <w:sz w:val="8"/>
                <w:szCs w:val="8"/>
                <w:color w:val="auto"/>
              </w:rPr>
            </w:pPr>
          </w:p>
        </w:tc>
        <w:tc>
          <w:tcPr>
            <w:tcW w:w="3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144145</wp:posOffset>
            </wp:positionV>
            <wp:extent cx="720026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318" w:right="299" w:bottom="1440" w:gutter="0" w:footer="0" w:header="0"/>
        </w:sectPr>
      </w:pPr>
    </w:p>
    <w:bookmarkStart w:id="32" w:name="page33"/>
    <w:bookmarkEnd w:id="32"/>
    <w:p>
      <w:pPr>
        <w:ind w:left="440" w:hanging="222"/>
        <w:spacing w:after="0"/>
        <w:tabs>
          <w:tab w:leader="none" w:pos="440"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Our Company has a 33.3% unincorporated joint venture interest in a 16-screen cinema located in Mt. Gravatt, Queensland managed by Event Cinemas.</w:t>
      </w:r>
    </w:p>
    <w:p>
      <w:pPr>
        <w:ind w:left="440" w:hanging="222"/>
        <w:spacing w:after="0" w:line="233" w:lineRule="auto"/>
        <w:tabs>
          <w:tab w:leader="none" w:pos="440"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Our Company is a 50% joint venture partner in two New Zealand Rialto Cinemas, with a total of 13 screens. We are responsible for the booking of these cinemas and our joint venture partner, Event Cinemas, manages their day-to-day operations.</w:t>
      </w:r>
    </w:p>
    <w:p>
      <w:pPr>
        <w:ind w:left="440" w:right="20" w:hanging="222"/>
        <w:spacing w:after="0" w:line="230" w:lineRule="auto"/>
        <w:tabs>
          <w:tab w:leader="none" w:pos="440"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 Our Wellington lease count includes our Courtenay Central cinema, which, having been sold on January 31, 2025, is now under an Agreement to Lease and we anticipate reopening following the completion of certain third-party construction and seismic strengthening works; and (ii) we closed one underperforming cinema located in San Diego, CA on April 15, 2025.</w:t>
      </w:r>
    </w:p>
    <w:p>
      <w:pPr>
        <w:spacing w:after="0" w:line="15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2"/>
          <w:szCs w:val="12"/>
          <w:color w:val="auto"/>
        </w:rPr>
        <w:t xml:space="preserve">Our cinema revenues consist primarily of cinema ticket sales, F&amp;B sales, screen advertising, gift card sales, cinema rentals, and online convenience fee revenue generated by the sale of our cinema tickets through our websites and mobile apps. Cinema operating expenses consist of the costs directly attributable to the operation of the cinemas, including (i) film rent expense, (ii) cost of goods sold, (iii) operating costs, such as labor costs and utilities, and (iv) occupancy costs. Cinema revenues and certain expenses fluctuate with the availability of quality content and the number of weeks such content stays on screen. For a breakdown of our current cinema assets that we own and/or manage, please refer to </w:t>
      </w:r>
      <w:r>
        <w:rPr>
          <w:rFonts w:ascii="Times New Roman" w:cs="Times New Roman" w:eastAsia="Times New Roman" w:hAnsi="Times New Roman"/>
          <w:sz w:val="12"/>
          <w:szCs w:val="12"/>
          <w:i w:val="1"/>
          <w:iCs w:val="1"/>
          <w:color w:val="auto"/>
        </w:rPr>
        <w:t>Part I, Item 1 – Our Business</w:t>
      </w:r>
      <w:r>
        <w:rPr>
          <w:rFonts w:ascii="Times New Roman" w:cs="Times New Roman" w:eastAsia="Times New Roman" w:hAnsi="Times New Roman"/>
          <w:sz w:val="12"/>
          <w:szCs w:val="12"/>
          <w:color w:val="auto"/>
        </w:rPr>
        <w:t xml:space="preserve"> of our 2024 Form 10-K.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Cinema Pipeline and Closures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On January 31, 2025, in connection with our sale of our Wellington Properties to Prime Property Group Limited (“Prime”), we entered into an agreement to lease with Prime to fit out and operate under a long-term lease our previously owned 10 screen cinema at the to be redeveloped Courtenay Central in Wellington, New Zealand (the “ATL”). Under the ATL, Prime is obligated to redevelop Courtenay Central and upgrade it to meet current earthquake standards. We intend to renovate the existing cinema to a “best-in-class” standard.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Board has also authorized management to proceed with the negotiation of a lease for a new state-of-the-art cinema, located in Noosa, Queensland, Australia.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April 15, 2025, we closed our underperforming cinema located in San Diego, California.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Cinema Upgrades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upgrades to our cinema circuits’ film exhibition technology and amenities over the years are as summarized in the following table as of September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20" w:type="dxa"/>
            <w:vAlign w:val="bottom"/>
          </w:tcPr>
          <w:p>
            <w:pPr>
              <w:spacing w:after="0"/>
              <w:rPr>
                <w:sz w:val="10"/>
                <w:szCs w:val="10"/>
                <w:color w:val="auto"/>
              </w:rPr>
            </w:pPr>
          </w:p>
        </w:tc>
        <w:tc>
          <w:tcPr>
            <w:tcW w:w="1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Location  Count</w:t>
            </w:r>
          </w:p>
        </w:tc>
        <w:tc>
          <w:tcPr>
            <w:tcW w:w="13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Screen</w:t>
            </w:r>
          </w:p>
        </w:tc>
        <w:tc>
          <w:tcPr>
            <w:tcW w:w="0" w:type="dxa"/>
            <w:vAlign w:val="bottom"/>
          </w:tcPr>
          <w:p>
            <w:pPr>
              <w:spacing w:after="0"/>
              <w:rPr>
                <w:sz w:val="1"/>
                <w:szCs w:val="1"/>
                <w:color w:val="auto"/>
              </w:rPr>
            </w:pPr>
          </w:p>
        </w:tc>
      </w:tr>
      <w:tr>
        <w:trPr>
          <w:trHeight w:val="128"/>
        </w:trPr>
        <w:tc>
          <w:tcPr>
            <w:tcW w:w="84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‎Count</w:t>
            </w:r>
          </w:p>
        </w:tc>
        <w:tc>
          <w:tcPr>
            <w:tcW w:w="0" w:type="dxa"/>
            <w:vAlign w:val="bottom"/>
          </w:tcPr>
          <w:p>
            <w:pPr>
              <w:spacing w:after="0"/>
              <w:rPr>
                <w:sz w:val="1"/>
                <w:szCs w:val="1"/>
                <w:color w:val="auto"/>
              </w:rPr>
            </w:pPr>
          </w:p>
        </w:tc>
      </w:tr>
      <w:tr>
        <w:trPr>
          <w:trHeight w:val="129"/>
        </w:trPr>
        <w:tc>
          <w:tcPr>
            <w:tcW w:w="84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i w:val="1"/>
                <w:iCs w:val="1"/>
                <w:color w:val="auto"/>
              </w:rPr>
              <w:t>Screen Format</w:t>
            </w:r>
          </w:p>
        </w:tc>
        <w:tc>
          <w:tcPr>
            <w:tcW w:w="13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420" w:type="dxa"/>
            <w:vAlign w:val="bottom"/>
          </w:tcPr>
          <w:p>
            <w:pPr>
              <w:ind w:left="140"/>
              <w:spacing w:after="0" w:line="130" w:lineRule="exact"/>
              <w:rPr>
                <w:sz w:val="20"/>
                <w:szCs w:val="20"/>
                <w:color w:val="auto"/>
              </w:rPr>
            </w:pPr>
            <w:r>
              <w:rPr>
                <w:rFonts w:ascii="Times New Roman" w:cs="Times New Roman" w:eastAsia="Times New Roman" w:hAnsi="Times New Roman"/>
                <w:sz w:val="12"/>
                <w:szCs w:val="12"/>
                <w:color w:val="auto"/>
              </w:rPr>
              <w:t>Digital (all cinemas in our cinema circuit)</w:t>
            </w:r>
          </w:p>
        </w:tc>
        <w:tc>
          <w:tcPr>
            <w:tcW w:w="136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auto"/>
                <w:w w:val="99"/>
              </w:rPr>
              <w:t>58</w:t>
            </w:r>
          </w:p>
        </w:tc>
        <w:tc>
          <w:tcPr>
            <w:tcW w:w="180" w:type="dxa"/>
            <w:vAlign w:val="bottom"/>
          </w:tcPr>
          <w:p>
            <w:pPr>
              <w:spacing w:after="0"/>
              <w:rPr>
                <w:sz w:val="11"/>
                <w:szCs w:val="11"/>
                <w:color w:val="auto"/>
              </w:rPr>
            </w:pPr>
          </w:p>
        </w:tc>
        <w:tc>
          <w:tcPr>
            <w:tcW w:w="134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auto"/>
              </w:rPr>
              <w:t>469</w:t>
            </w:r>
          </w:p>
        </w:tc>
        <w:tc>
          <w:tcPr>
            <w:tcW w:w="0" w:type="dxa"/>
            <w:vAlign w:val="bottom"/>
          </w:tcPr>
          <w:p>
            <w:pPr>
              <w:spacing w:after="0"/>
              <w:rPr>
                <w:sz w:val="1"/>
                <w:szCs w:val="1"/>
                <w:color w:val="auto"/>
              </w:rPr>
            </w:pPr>
          </w:p>
        </w:tc>
      </w:tr>
      <w:tr>
        <w:trPr>
          <w:trHeight w:val="130"/>
        </w:trPr>
        <w:tc>
          <w:tcPr>
            <w:tcW w:w="8420" w:type="dxa"/>
            <w:vAlign w:val="bottom"/>
            <w:shd w:val="clear" w:color="auto" w:fill="CCEEFF"/>
          </w:tcPr>
          <w:p>
            <w:pPr>
              <w:ind w:left="140"/>
              <w:spacing w:after="0" w:line="130" w:lineRule="exact"/>
              <w:rPr>
                <w:sz w:val="20"/>
                <w:szCs w:val="20"/>
                <w:color w:val="auto"/>
              </w:rPr>
            </w:pPr>
            <w:r>
              <w:rPr>
                <w:rFonts w:ascii="Times New Roman" w:cs="Times New Roman" w:eastAsia="Times New Roman" w:hAnsi="Times New Roman"/>
                <w:sz w:val="12"/>
                <w:szCs w:val="12"/>
                <w:color w:val="auto"/>
              </w:rPr>
              <w:t>IMAX</w:t>
            </w:r>
          </w:p>
        </w:tc>
        <w:tc>
          <w:tcPr>
            <w:tcW w:w="1360" w:type="dxa"/>
            <w:vAlign w:val="bottom"/>
            <w:shd w:val="clear" w:color="auto" w:fill="CCEEFF"/>
          </w:tcPr>
          <w:p>
            <w:pPr>
              <w:jc w:val="center"/>
              <w:spacing w:after="0" w:line="130" w:lineRule="exact"/>
              <w:rPr>
                <w:sz w:val="20"/>
                <w:szCs w:val="20"/>
                <w:color w:val="auto"/>
              </w:rPr>
            </w:pPr>
            <w:r>
              <w:rPr>
                <w:rFonts w:ascii="Times New Roman" w:cs="Times New Roman" w:eastAsia="Times New Roman" w:hAnsi="Times New Roman"/>
                <w:sz w:val="12"/>
                <w:szCs w:val="12"/>
                <w:color w:val="auto"/>
              </w:rPr>
              <w:t>1</w:t>
            </w: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jc w:val="center"/>
              <w:spacing w:after="0" w:line="130" w:lineRule="exact"/>
              <w:rPr>
                <w:sz w:val="20"/>
                <w:szCs w:val="20"/>
                <w:color w:val="auto"/>
              </w:rPr>
            </w:pPr>
            <w:r>
              <w:rPr>
                <w:rFonts w:ascii="Times New Roman" w:cs="Times New Roman" w:eastAsia="Times New Roman" w:hAnsi="Times New Roman"/>
                <w:sz w:val="12"/>
                <w:szCs w:val="12"/>
                <w:color w:val="auto"/>
                <w:w w:val="99"/>
              </w:rPr>
              <w:t>1</w:t>
            </w:r>
          </w:p>
        </w:tc>
        <w:tc>
          <w:tcPr>
            <w:tcW w:w="0" w:type="dxa"/>
            <w:vAlign w:val="bottom"/>
          </w:tcPr>
          <w:p>
            <w:pPr>
              <w:spacing w:after="0"/>
              <w:rPr>
                <w:sz w:val="1"/>
                <w:szCs w:val="1"/>
                <w:color w:val="auto"/>
              </w:rPr>
            </w:pPr>
          </w:p>
        </w:tc>
      </w:tr>
      <w:tr>
        <w:trPr>
          <w:trHeight w:val="130"/>
        </w:trPr>
        <w:tc>
          <w:tcPr>
            <w:tcW w:w="8420" w:type="dxa"/>
            <w:vAlign w:val="bottom"/>
          </w:tcPr>
          <w:p>
            <w:pPr>
              <w:ind w:left="140"/>
              <w:spacing w:after="0" w:line="130" w:lineRule="exact"/>
              <w:rPr>
                <w:sz w:val="20"/>
                <w:szCs w:val="20"/>
                <w:color w:val="auto"/>
              </w:rPr>
            </w:pPr>
            <w:r>
              <w:rPr>
                <w:rFonts w:ascii="Times New Roman" w:cs="Times New Roman" w:eastAsia="Times New Roman" w:hAnsi="Times New Roman"/>
                <w:sz w:val="12"/>
                <w:szCs w:val="12"/>
                <w:color w:val="auto"/>
              </w:rPr>
              <w:t>TITAN XC and TITAN LUXE</w:t>
            </w:r>
          </w:p>
        </w:tc>
        <w:tc>
          <w:tcPr>
            <w:tcW w:w="136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auto"/>
                <w:w w:val="99"/>
              </w:rPr>
              <w:t>26</w:t>
            </w:r>
          </w:p>
        </w:tc>
        <w:tc>
          <w:tcPr>
            <w:tcW w:w="180" w:type="dxa"/>
            <w:vAlign w:val="bottom"/>
          </w:tcPr>
          <w:p>
            <w:pPr>
              <w:spacing w:after="0"/>
              <w:rPr>
                <w:sz w:val="11"/>
                <w:szCs w:val="11"/>
                <w:color w:val="auto"/>
              </w:rPr>
            </w:pPr>
          </w:p>
        </w:tc>
        <w:tc>
          <w:tcPr>
            <w:tcW w:w="134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auto"/>
                <w:w w:val="99"/>
              </w:rPr>
              <w:t>32</w:t>
            </w:r>
          </w:p>
        </w:tc>
        <w:tc>
          <w:tcPr>
            <w:tcW w:w="0" w:type="dxa"/>
            <w:vAlign w:val="bottom"/>
          </w:tcPr>
          <w:p>
            <w:pPr>
              <w:spacing w:after="0"/>
              <w:rPr>
                <w:sz w:val="1"/>
                <w:szCs w:val="1"/>
                <w:color w:val="auto"/>
              </w:rPr>
            </w:pPr>
          </w:p>
        </w:tc>
      </w:tr>
      <w:tr>
        <w:trPr>
          <w:trHeight w:val="130"/>
        </w:trPr>
        <w:tc>
          <w:tcPr>
            <w:tcW w:w="842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i w:val="1"/>
                <w:iCs w:val="1"/>
                <w:color w:val="auto"/>
              </w:rPr>
              <w:t>Dine-in Service</w:t>
            </w:r>
          </w:p>
        </w:tc>
        <w:tc>
          <w:tcPr>
            <w:tcW w:w="1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8420" w:type="dxa"/>
            <w:vAlign w:val="bottom"/>
          </w:tcPr>
          <w:p>
            <w:pPr>
              <w:ind w:left="140"/>
              <w:spacing w:after="0" w:line="177" w:lineRule="exact"/>
              <w:rPr>
                <w:sz w:val="20"/>
                <w:szCs w:val="20"/>
                <w:color w:val="auto"/>
              </w:rPr>
            </w:pPr>
            <w:r>
              <w:rPr>
                <w:rFonts w:ascii="Times New Roman" w:cs="Times New Roman" w:eastAsia="Times New Roman" w:hAnsi="Times New Roman"/>
                <w:sz w:val="12"/>
                <w:szCs w:val="12"/>
                <w:color w:val="auto"/>
              </w:rPr>
              <w:t>Gold Lounge (AU/NZ)</w:t>
            </w:r>
            <w:r>
              <w:rPr>
                <w:rFonts w:ascii="Times New Roman" w:cs="Times New Roman" w:eastAsia="Times New Roman" w:hAnsi="Times New Roman"/>
                <w:sz w:val="20"/>
                <w:szCs w:val="20"/>
                <w:color w:val="auto"/>
                <w:vertAlign w:val="superscript"/>
              </w:rPr>
              <w:t>(1)</w:t>
            </w: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1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29</w:t>
            </w:r>
          </w:p>
        </w:tc>
        <w:tc>
          <w:tcPr>
            <w:tcW w:w="0" w:type="dxa"/>
            <w:vAlign w:val="bottom"/>
          </w:tcPr>
          <w:p>
            <w:pPr>
              <w:spacing w:after="0"/>
              <w:rPr>
                <w:sz w:val="1"/>
                <w:szCs w:val="1"/>
                <w:color w:val="auto"/>
              </w:rPr>
            </w:pPr>
          </w:p>
        </w:tc>
      </w:tr>
      <w:tr>
        <w:trPr>
          <w:trHeight w:val="177"/>
        </w:trPr>
        <w:tc>
          <w:tcPr>
            <w:tcW w:w="8420" w:type="dxa"/>
            <w:vAlign w:val="bottom"/>
            <w:shd w:val="clear" w:color="auto" w:fill="CCEEFF"/>
          </w:tcPr>
          <w:p>
            <w:pPr>
              <w:ind w:left="140"/>
              <w:spacing w:after="0" w:line="177" w:lineRule="exact"/>
              <w:rPr>
                <w:sz w:val="20"/>
                <w:szCs w:val="20"/>
                <w:color w:val="auto"/>
              </w:rPr>
            </w:pPr>
            <w:r>
              <w:rPr>
                <w:rFonts w:ascii="Times New Roman" w:cs="Times New Roman" w:eastAsia="Times New Roman" w:hAnsi="Times New Roman"/>
                <w:sz w:val="12"/>
                <w:szCs w:val="12"/>
                <w:color w:val="auto"/>
              </w:rPr>
              <w:t>Premium (AU/NZ)</w:t>
            </w:r>
            <w:r>
              <w:rPr>
                <w:rFonts w:ascii="Times New Roman" w:cs="Times New Roman" w:eastAsia="Times New Roman" w:hAnsi="Times New Roman"/>
                <w:sz w:val="20"/>
                <w:szCs w:val="20"/>
                <w:color w:val="auto"/>
                <w:vertAlign w:val="superscript"/>
              </w:rPr>
              <w:t>(2)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18</w:t>
            </w: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47</w:t>
            </w:r>
          </w:p>
        </w:tc>
        <w:tc>
          <w:tcPr>
            <w:tcW w:w="0" w:type="dxa"/>
            <w:vAlign w:val="bottom"/>
          </w:tcPr>
          <w:p>
            <w:pPr>
              <w:spacing w:after="0"/>
              <w:rPr>
                <w:sz w:val="1"/>
                <w:szCs w:val="1"/>
                <w:color w:val="auto"/>
              </w:rPr>
            </w:pPr>
          </w:p>
        </w:tc>
      </w:tr>
      <w:tr>
        <w:trPr>
          <w:trHeight w:val="177"/>
        </w:trPr>
        <w:tc>
          <w:tcPr>
            <w:tcW w:w="8420" w:type="dxa"/>
            <w:vAlign w:val="bottom"/>
          </w:tcPr>
          <w:p>
            <w:pPr>
              <w:ind w:left="140"/>
              <w:spacing w:after="0" w:line="177" w:lineRule="exact"/>
              <w:rPr>
                <w:sz w:val="20"/>
                <w:szCs w:val="20"/>
                <w:color w:val="auto"/>
              </w:rPr>
            </w:pPr>
            <w:r>
              <w:rPr>
                <w:rFonts w:ascii="Times New Roman" w:cs="Times New Roman" w:eastAsia="Times New Roman" w:hAnsi="Times New Roman"/>
                <w:sz w:val="12"/>
                <w:szCs w:val="12"/>
                <w:color w:val="auto"/>
              </w:rPr>
              <w:t>Spotlight (U.S.)</w:t>
            </w:r>
            <w:r>
              <w:rPr>
                <w:rFonts w:ascii="Times New Roman" w:cs="Times New Roman" w:eastAsia="Times New Roman" w:hAnsi="Times New Roman"/>
                <w:sz w:val="20"/>
                <w:szCs w:val="20"/>
                <w:color w:val="auto"/>
                <w:vertAlign w:val="superscript"/>
              </w:rPr>
              <w:t>(3)</w:t>
            </w: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0" w:type="dxa"/>
            <w:vAlign w:val="bottom"/>
          </w:tcPr>
          <w:p>
            <w:pPr>
              <w:spacing w:after="0"/>
              <w:rPr>
                <w:sz w:val="1"/>
                <w:szCs w:val="1"/>
                <w:color w:val="auto"/>
              </w:rPr>
            </w:pPr>
          </w:p>
        </w:tc>
      </w:tr>
      <w:tr>
        <w:trPr>
          <w:trHeight w:val="177"/>
        </w:trPr>
        <w:tc>
          <w:tcPr>
            <w:tcW w:w="84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2"/>
                <w:szCs w:val="12"/>
                <w:i w:val="1"/>
                <w:iCs w:val="1"/>
                <w:color w:val="auto"/>
              </w:rPr>
              <w:t>Upgraded Food &amp; Beverage menu (U.S.)</w:t>
            </w:r>
            <w:r>
              <w:rPr>
                <w:rFonts w:ascii="Times New Roman" w:cs="Times New Roman" w:eastAsia="Times New Roman" w:hAnsi="Times New Roman"/>
                <w:sz w:val="20"/>
                <w:szCs w:val="20"/>
                <w:i w:val="1"/>
                <w:iCs w:val="1"/>
                <w:color w:val="auto"/>
                <w:vertAlign w:val="superscript"/>
              </w:rPr>
              <w:t>(4)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15</w:t>
            </w: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30"/>
        </w:trPr>
        <w:tc>
          <w:tcPr>
            <w:tcW w:w="8420" w:type="dxa"/>
            <w:vAlign w:val="bottom"/>
          </w:tcPr>
          <w:p>
            <w:pPr>
              <w:spacing w:after="0" w:line="130" w:lineRule="exact"/>
              <w:rPr>
                <w:sz w:val="20"/>
                <w:szCs w:val="20"/>
                <w:color w:val="auto"/>
              </w:rPr>
            </w:pPr>
            <w:r>
              <w:rPr>
                <w:rFonts w:ascii="Times New Roman" w:cs="Times New Roman" w:eastAsia="Times New Roman" w:hAnsi="Times New Roman"/>
                <w:sz w:val="12"/>
                <w:szCs w:val="12"/>
                <w:i w:val="1"/>
                <w:iCs w:val="1"/>
                <w:color w:val="auto"/>
              </w:rPr>
              <w:t>Premium Seating (features recliner seating)</w:t>
            </w:r>
          </w:p>
        </w:tc>
        <w:tc>
          <w:tcPr>
            <w:tcW w:w="136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auto"/>
                <w:w w:val="99"/>
              </w:rPr>
              <w:t>34</w:t>
            </w:r>
          </w:p>
        </w:tc>
        <w:tc>
          <w:tcPr>
            <w:tcW w:w="180" w:type="dxa"/>
            <w:vAlign w:val="bottom"/>
          </w:tcPr>
          <w:p>
            <w:pPr>
              <w:spacing w:after="0"/>
              <w:rPr>
                <w:sz w:val="11"/>
                <w:szCs w:val="11"/>
                <w:color w:val="auto"/>
              </w:rPr>
            </w:pPr>
          </w:p>
        </w:tc>
        <w:tc>
          <w:tcPr>
            <w:tcW w:w="134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auto"/>
              </w:rPr>
              <w:t>200</w:t>
            </w:r>
          </w:p>
        </w:tc>
        <w:tc>
          <w:tcPr>
            <w:tcW w:w="0" w:type="dxa"/>
            <w:vAlign w:val="bottom"/>
          </w:tcPr>
          <w:p>
            <w:pPr>
              <w:spacing w:after="0"/>
              <w:rPr>
                <w:sz w:val="1"/>
                <w:szCs w:val="1"/>
                <w:color w:val="auto"/>
              </w:rPr>
            </w:pPr>
          </w:p>
        </w:tc>
      </w:tr>
      <w:tr>
        <w:trPr>
          <w:trHeight w:val="177"/>
        </w:trPr>
        <w:tc>
          <w:tcPr>
            <w:tcW w:w="84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2"/>
                <w:szCs w:val="12"/>
                <w:i w:val="1"/>
                <w:iCs w:val="1"/>
                <w:color w:val="auto"/>
              </w:rPr>
              <w:t xml:space="preserve">Liquor Licenses </w:t>
            </w:r>
            <w:r>
              <w:rPr>
                <w:rFonts w:ascii="Times New Roman" w:cs="Times New Roman" w:eastAsia="Times New Roman" w:hAnsi="Times New Roman"/>
                <w:sz w:val="20"/>
                <w:szCs w:val="20"/>
                <w:i w:val="1"/>
                <w:iCs w:val="1"/>
                <w:color w:val="auto"/>
                <w:vertAlign w:val="superscript"/>
              </w:rPr>
              <w:t>(5)</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49</w:t>
            </w: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440" w:hanging="222"/>
        <w:spacing w:after="0"/>
        <w:tabs>
          <w:tab w:leader="none" w:pos="440"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b w:val="1"/>
          <w:bCs w:val="1"/>
          <w:color w:val="auto"/>
        </w:rPr>
        <w:t>Gold Lounge</w:t>
      </w:r>
      <w:r>
        <w:rPr>
          <w:rFonts w:ascii="Times New Roman" w:cs="Times New Roman" w:eastAsia="Times New Roman" w:hAnsi="Times New Roman"/>
          <w:sz w:val="10"/>
          <w:szCs w:val="10"/>
          <w:color w:val="auto"/>
        </w:rPr>
        <w:t>: This is our "First Class Full Dine-in Service" in our Australian and New Zealand cinemas, which includes an upgraded F&amp;B menu (with alcoholic beverages), luxury recliner seating features (intimate 25-50 seat cinemas) and waiter service.</w:t>
      </w:r>
    </w:p>
    <w:p>
      <w:pPr>
        <w:spacing w:after="0" w:line="8" w:lineRule="exact"/>
        <w:rPr>
          <w:rFonts w:ascii="Times New Roman" w:cs="Times New Roman" w:eastAsia="Times New Roman" w:hAnsi="Times New Roman"/>
          <w:sz w:val="10"/>
          <w:szCs w:val="10"/>
          <w:color w:val="auto"/>
        </w:rPr>
      </w:pPr>
    </w:p>
    <w:p>
      <w:pPr>
        <w:ind w:left="440" w:right="20" w:hanging="222"/>
        <w:spacing w:after="0" w:line="223" w:lineRule="auto"/>
        <w:tabs>
          <w:tab w:leader="none" w:pos="440"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b w:val="1"/>
          <w:bCs w:val="1"/>
          <w:color w:val="auto"/>
        </w:rPr>
        <w:t>Premium Service</w:t>
      </w:r>
      <w:r>
        <w:rPr>
          <w:rFonts w:ascii="Times New Roman" w:cs="Times New Roman" w:eastAsia="Times New Roman" w:hAnsi="Times New Roman"/>
          <w:sz w:val="10"/>
          <w:szCs w:val="10"/>
          <w:color w:val="auto"/>
        </w:rPr>
        <w:t>: This is our "Business Class Dine-in Service" in our Australian and New Zealand cinemas, which typically includes upgraded F&amp;B menu (some with alcoholic beverages) and may include luxury recliner seating features (less intimate 80-seat cinemas),</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but no waiter service.</w:t>
      </w:r>
    </w:p>
    <w:p>
      <w:pPr>
        <w:ind w:left="440" w:hanging="222"/>
        <w:spacing w:after="0" w:line="223" w:lineRule="auto"/>
        <w:tabs>
          <w:tab w:leader="none" w:pos="440"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b w:val="1"/>
          <w:bCs w:val="1"/>
          <w:color w:val="auto"/>
        </w:rPr>
        <w:t xml:space="preserve">Spotlight Service: </w:t>
      </w:r>
      <w:r>
        <w:rPr>
          <w:rFonts w:ascii="Times New Roman" w:cs="Times New Roman" w:eastAsia="Times New Roman" w:hAnsi="Times New Roman"/>
          <w:sz w:val="10"/>
          <w:szCs w:val="10"/>
          <w:color w:val="auto"/>
        </w:rPr>
        <w:t>Spotlight, our first dine-in cinema concept in the U.S., is situated at Reading Cinemas in Murrieta, California. Prior to the COVID-19 Pandemic, six of our 17 auditoriums at this cinema featured waiter service before the movie began with a full F&amp;B</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menu, luxury recliner seating, and laser focus on customer service. Our Spotlight service remains suspended.</w:t>
      </w:r>
    </w:p>
    <w:p>
      <w:pPr>
        <w:ind w:left="440" w:right="20" w:hanging="222"/>
        <w:spacing w:after="0" w:line="223" w:lineRule="auto"/>
        <w:tabs>
          <w:tab w:leader="none" w:pos="440"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b w:val="1"/>
          <w:bCs w:val="1"/>
          <w:color w:val="auto"/>
        </w:rPr>
        <w:t>Upgraded Food &amp; Beverage Menu</w:t>
      </w:r>
      <w:r>
        <w:rPr>
          <w:rFonts w:ascii="Times New Roman" w:cs="Times New Roman" w:eastAsia="Times New Roman" w:hAnsi="Times New Roman"/>
          <w:sz w:val="10"/>
          <w:szCs w:val="10"/>
          <w:color w:val="auto"/>
        </w:rPr>
        <w:t>: Features an elevated F&amp;B menu including a menu of locally inspired and freshly prepared items that go beyond traditional concessions, which we have worked with former Food Network executives to create. The elevated menu also</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includes beer, wine and/or spirits at most of our locations.</w:t>
      </w:r>
    </w:p>
    <w:p>
      <w:pPr>
        <w:ind w:left="440" w:right="20" w:hanging="222"/>
        <w:spacing w:after="0" w:line="230" w:lineRule="auto"/>
        <w:tabs>
          <w:tab w:leader="none" w:pos="440"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b w:val="1"/>
          <w:bCs w:val="1"/>
          <w:color w:val="auto"/>
        </w:rPr>
        <w:t xml:space="preserve">Liquor Licenses: </w:t>
      </w:r>
      <w:r>
        <w:rPr>
          <w:rFonts w:ascii="Times New Roman" w:cs="Times New Roman" w:eastAsia="Times New Roman" w:hAnsi="Times New Roman"/>
          <w:sz w:val="10"/>
          <w:szCs w:val="10"/>
          <w:color w:val="auto"/>
        </w:rPr>
        <w:t>Licenses are applicable at each cinema location, rather than each cinema auditorium. As of today, we have beer and wine licenses in 100% of our cinemas and liquor licenses in all but three of our cinemas operating in the U.S. In Australia, 86% of our</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cinemas are licensed and we have no liquor licenses pending. In New Zealand, 38% of our cinemas are licensed and we have two liquor licenses pending.</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365" w:right="299" w:bottom="1440" w:gutter="0" w:footer="0" w:header="0"/>
        </w:sectPr>
      </w:pPr>
    </w:p>
    <w:bookmarkStart w:id="33" w:name="page34"/>
    <w:bookmarkEnd w:id="33"/>
    <w:p>
      <w:pPr>
        <w:jc w:val="both"/>
        <w:ind w:right="20"/>
        <w:spacing w:after="0" w:line="254" w:lineRule="auto"/>
        <w:rPr>
          <w:sz w:val="20"/>
          <w:szCs w:val="20"/>
          <w:color w:val="auto"/>
        </w:rPr>
      </w:pPr>
      <w:r>
        <w:rPr>
          <w:rFonts w:ascii="Times New Roman" w:cs="Times New Roman" w:eastAsia="Times New Roman" w:hAnsi="Times New Roman"/>
          <w:sz w:val="12"/>
          <w:szCs w:val="12"/>
          <w:color w:val="auto"/>
        </w:rPr>
        <w:t>During the third quarter, we commenced a renovation of our theater in Bakersfield, California. We are upgrading our Reading Cinemas at Valley Plaza Mall by (i) creating a TITAN LUXE premium screen featuring a Dolby Atmos sound system and luxury heated recliner seats, (ii) installing luxury heated recliner seats in our IMAX auditorium and (iii) installing luxury recliner seats in eight other auditoriums. The renovated IMAX auditorium is now open for business and we anticipate the renovation to be completed before the end of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Real Estate Segment Overview</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 xml:space="preserve">Through our various subsidiaries, we engage in the real estate business through the development, ownership, rental or licensing to third parties of retail, commercial, and Live Theatre assets. Our real estate business creates long-term value for our stockholders through the continuous improvement and development of our investment and operating properties, including our ETCs. In addition to owning the fee interests in 7 of our cinemas (as presented in the table under </w:t>
      </w:r>
      <w:r>
        <w:rPr>
          <w:rFonts w:ascii="Times New Roman" w:cs="Times New Roman" w:eastAsia="Times New Roman" w:hAnsi="Times New Roman"/>
          <w:sz w:val="12"/>
          <w:szCs w:val="12"/>
          <w:i w:val="1"/>
          <w:iCs w:val="1"/>
          <w:color w:val="auto"/>
        </w:rPr>
        <w:t>Cinema Exhibition Overview</w:t>
      </w:r>
      <w:r>
        <w:rPr>
          <w:rFonts w:ascii="Times New Roman" w:cs="Times New Roman" w:eastAsia="Times New Roman" w:hAnsi="Times New Roman"/>
          <w:sz w:val="12"/>
          <w:szCs w:val="12"/>
          <w:color w:val="auto"/>
        </w:rPr>
        <w:t>), as of September 30, 2025, we:</w:t>
      </w:r>
    </w:p>
    <w:p>
      <w:pPr>
        <w:spacing w:after="0" w:line="93" w:lineRule="exact"/>
        <w:rPr>
          <w:sz w:val="20"/>
          <w:szCs w:val="20"/>
          <w:color w:val="auto"/>
        </w:rPr>
      </w:pPr>
    </w:p>
    <w:p>
      <w:pPr>
        <w:ind w:left="440"/>
        <w:spacing w:after="0" w:line="247" w:lineRule="auto"/>
        <w:rPr>
          <w:sz w:val="20"/>
          <w:szCs w:val="20"/>
          <w:color w:val="auto"/>
        </w:rPr>
      </w:pPr>
      <w:r>
        <w:rPr>
          <w:rFonts w:ascii="Times New Roman" w:cs="Times New Roman" w:eastAsia="Times New Roman" w:hAnsi="Times New Roman"/>
          <w:sz w:val="12"/>
          <w:szCs w:val="12"/>
          <w:color w:val="auto"/>
        </w:rPr>
        <w:t>own our 44 Union Square property in Manhattan comprised of retail and office space, which is currently in the lease-up phase. The cellar, ground floor, and second floor of the building are now fully leased to Petco, which is in occupancy of its premises on a full rent paying basis;</w:t>
      </w:r>
    </w:p>
    <w:p>
      <w:pPr>
        <w:ind w:left="440" w:right="40"/>
        <w:spacing w:after="0" w:line="234" w:lineRule="auto"/>
        <w:rPr>
          <w:sz w:val="20"/>
          <w:szCs w:val="20"/>
          <w:color w:val="auto"/>
        </w:rPr>
      </w:pPr>
      <w:r>
        <w:rPr>
          <w:rFonts w:ascii="Times New Roman" w:cs="Times New Roman" w:eastAsia="Times New Roman" w:hAnsi="Times New Roman"/>
          <w:sz w:val="12"/>
          <w:szCs w:val="12"/>
          <w:color w:val="auto"/>
        </w:rPr>
        <w:t>own and operate two ETCs known as Newmarket Village (in a suburb of Brisbane), and the Belmont Common (in a suburb of Perth), the cinema components of which are included in the fee owned screen count above; own and operate our administrative office building in South Melbourne, Australia;</w:t>
      </w:r>
    </w:p>
    <w:p>
      <w:pPr>
        <w:spacing w:after="0" w:line="1" w:lineRule="exact"/>
        <w:rPr>
          <w:sz w:val="20"/>
          <w:szCs w:val="20"/>
          <w:color w:val="auto"/>
        </w:rPr>
      </w:pPr>
    </w:p>
    <w:p>
      <w:pPr>
        <w:ind w:left="220"/>
        <w:spacing w:after="0" w:line="226" w:lineRule="auto"/>
        <w:rPr>
          <w:sz w:val="20"/>
          <w:szCs w:val="20"/>
          <w:color w:val="auto"/>
        </w:rPr>
      </w:pPr>
      <w:r>
        <w:rPr>
          <w:rFonts w:ascii="Times New Roman" w:cs="Times New Roman" w:eastAsia="Times New Roman" w:hAnsi="Times New Roman"/>
          <w:sz w:val="12"/>
          <w:szCs w:val="12"/>
          <w:color w:val="auto"/>
        </w:rPr>
        <w:t>own and operate the fee interests in two developed commercial properties in Manhattan improved with Live Theatres comprised of a single stage in each location;</w:t>
      </w:r>
    </w:p>
    <w:p>
      <w:pPr>
        <w:ind w:left="220"/>
        <w:spacing w:after="0"/>
        <w:rPr>
          <w:sz w:val="20"/>
          <w:szCs w:val="20"/>
          <w:color w:val="auto"/>
        </w:rPr>
      </w:pPr>
      <w:r>
        <w:rPr>
          <w:rFonts w:ascii="Times New Roman" w:cs="Times New Roman" w:eastAsia="Times New Roman" w:hAnsi="Times New Roman"/>
          <w:sz w:val="12"/>
          <w:szCs w:val="12"/>
          <w:color w:val="auto"/>
        </w:rPr>
        <w:t>own a 75% managing member interest in Sutton Hill Properties LLC a limited liability company which in turn owns the fee interest in and improvements constituting our Cinemas 1,2,3 located in Manhattan. On</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September 30, 2025, we entered into an agreement to purchase all of the partnership interests in Sutton Hill Associates, a California general partnership (“SHA”). Through its ownership of 100% of the membership interests in Sutton Hill Capital, LLC SHA’s principal assets are (i) the 25% non-controlling membership interest in Sutton Hill Properties, LLC that we do not already own. The ownership of Sutton Hill Properties, LLC</w:t>
      </w:r>
    </w:p>
    <w:p>
      <w:pPr>
        <w:ind w:left="440"/>
        <w:spacing w:after="0" w:line="187" w:lineRule="auto"/>
        <w:rPr>
          <w:sz w:val="20"/>
          <w:szCs w:val="20"/>
          <w:color w:val="auto"/>
        </w:rPr>
      </w:pPr>
      <w:r>
        <w:rPr>
          <w:rFonts w:ascii="Times New Roman" w:cs="Times New Roman" w:eastAsia="Times New Roman" w:hAnsi="Times New Roman"/>
          <w:sz w:val="12"/>
          <w:szCs w:val="12"/>
          <w:color w:val="auto"/>
        </w:rPr>
        <w:t>for accounting purposes is already consolidated into our financial statements. The transaction is anticipated to close in the 4</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quarter 2025;</w:t>
      </w:r>
    </w:p>
    <w:p>
      <w:pPr>
        <w:ind w:left="220"/>
        <w:spacing w:after="0" w:line="228" w:lineRule="auto"/>
        <w:rPr>
          <w:sz w:val="20"/>
          <w:szCs w:val="20"/>
          <w:color w:val="auto"/>
        </w:rPr>
      </w:pPr>
      <w:r>
        <w:rPr>
          <w:rFonts w:ascii="Times New Roman" w:cs="Times New Roman" w:eastAsia="Times New Roman" w:hAnsi="Times New Roman"/>
          <w:sz w:val="12"/>
          <w:szCs w:val="12"/>
          <w:color w:val="auto"/>
        </w:rPr>
        <w:t>own the approximately 23.9-acre Newberry Yard property in Williamsport, Pennsylvania, which is currently being held for sale; and</w:t>
      </w:r>
    </w:p>
    <w:p>
      <w:pPr>
        <w:ind w:left="220"/>
        <w:spacing w:after="0"/>
        <w:rPr>
          <w:sz w:val="20"/>
          <w:szCs w:val="20"/>
          <w:color w:val="auto"/>
        </w:rPr>
      </w:pPr>
      <w:r>
        <w:rPr>
          <w:rFonts w:ascii="Times New Roman" w:cs="Times New Roman" w:eastAsia="Times New Roman" w:hAnsi="Times New Roman"/>
          <w:sz w:val="12"/>
          <w:szCs w:val="12"/>
          <w:color w:val="auto"/>
        </w:rPr>
        <w:t>own approximately 201-acres principally in Pennsylvania from our legacy railroad business, including the Reading Viaduct in downtown Philadelphia;</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For a breakdown of our real estate assets, made current by our discussion below, please refer to </w:t>
      </w:r>
      <w:r>
        <w:rPr>
          <w:rFonts w:ascii="Times New Roman" w:cs="Times New Roman" w:eastAsia="Times New Roman" w:hAnsi="Times New Roman"/>
          <w:sz w:val="12"/>
          <w:szCs w:val="12"/>
          <w:i w:val="1"/>
          <w:iCs w:val="1"/>
          <w:color w:val="auto"/>
        </w:rPr>
        <w:t>Part I, Item 1 – Our Business</w:t>
      </w:r>
      <w:r>
        <w:rPr>
          <w:rFonts w:ascii="Times New Roman" w:cs="Times New Roman" w:eastAsia="Times New Roman" w:hAnsi="Times New Roman"/>
          <w:sz w:val="12"/>
          <w:szCs w:val="12"/>
          <w:color w:val="auto"/>
        </w:rPr>
        <w:t xml:space="preserve"> of our 2024 Form 10-K.</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248" w:right="299" w:bottom="1440" w:gutter="0" w:footer="0" w:header="0"/>
        </w:sectPr>
      </w:pPr>
    </w:p>
    <w:bookmarkStart w:id="34" w:name="page35"/>
    <w:bookmarkEnd w:id="34"/>
    <w:p>
      <w:pPr>
        <w:jc w:val="both"/>
        <w:spacing w:after="0" w:line="254" w:lineRule="auto"/>
        <w:rPr>
          <w:sz w:val="20"/>
          <w:szCs w:val="20"/>
          <w:color w:val="auto"/>
        </w:rPr>
      </w:pPr>
      <w:r>
        <w:rPr>
          <w:rFonts w:ascii="Times New Roman" w:cs="Times New Roman" w:eastAsia="Times New Roman" w:hAnsi="Times New Roman"/>
          <w:sz w:val="12"/>
          <w:szCs w:val="12"/>
          <w:color w:val="auto"/>
        </w:rPr>
        <w:t>The combination of the COVID-19 pandemic, the lack of any material U.S. public pandemic financial assistance due to our public company status, the 2023 Hollywood Strikes, increased interest rates, inflation, increased labor costs, and decreases in the value of the Australian Dollar and New Zealand Dollar vis-a-vis the U.S. Dollar over the past five years, have significantly impacted our cinema operations and necessitated capital conservation to sustain our cinema operations and service our debt. This has required us to rethink our real estate business plan and to monetize a number of properties that had pre-COVID been slated for long-term development.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Since 2021, we have monetized the following property assets:</w:t>
      </w:r>
    </w:p>
    <w:p>
      <w:pPr>
        <w:spacing w:after="0" w:line="132" w:lineRule="exact"/>
        <w:rPr>
          <w:sz w:val="20"/>
          <w:szCs w:val="20"/>
          <w:color w:val="auto"/>
        </w:rPr>
      </w:pPr>
    </w:p>
    <w:p>
      <w:pPr>
        <w:ind w:left="440" w:hanging="222"/>
        <w:spacing w:after="0"/>
        <w:tabs>
          <w:tab w:leader="none" w:pos="4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non-income producing land holdings in Coachella, California and Manukau, New Zealand;</w:t>
      </w:r>
    </w:p>
    <w:p>
      <w:pPr>
        <w:spacing w:after="0" w:line="6" w:lineRule="exact"/>
        <w:rPr>
          <w:rFonts w:ascii="Times New Roman" w:cs="Times New Roman" w:eastAsia="Times New Roman" w:hAnsi="Times New Roman"/>
          <w:sz w:val="12"/>
          <w:szCs w:val="12"/>
          <w:color w:val="auto"/>
        </w:rPr>
      </w:pPr>
    </w:p>
    <w:p>
      <w:pPr>
        <w:ind w:left="440" w:hanging="222"/>
        <w:spacing w:after="0"/>
        <w:tabs>
          <w:tab w:leader="none" w:pos="4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Redyard ETC in Auburn, Australia;</w:t>
      </w:r>
    </w:p>
    <w:p>
      <w:pPr>
        <w:spacing w:after="0" w:line="1" w:lineRule="exact"/>
        <w:rPr>
          <w:rFonts w:ascii="Times New Roman" w:cs="Times New Roman" w:eastAsia="Times New Roman" w:hAnsi="Times New Roman"/>
          <w:sz w:val="12"/>
          <w:szCs w:val="12"/>
          <w:color w:val="auto"/>
        </w:rPr>
      </w:pPr>
    </w:p>
    <w:p>
      <w:pPr>
        <w:ind w:left="440" w:hanging="222"/>
        <w:spacing w:after="0" w:line="226" w:lineRule="auto"/>
        <w:tabs>
          <w:tab w:leader="none" w:pos="4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Royal George Live Theatre complex in Chicago (slated for redevelopment, and now being redeveloped for residential purposes by the new owner);</w:t>
      </w:r>
    </w:p>
    <w:p>
      <w:pPr>
        <w:ind w:left="440" w:hanging="222"/>
        <w:spacing w:after="0" w:line="226" w:lineRule="auto"/>
        <w:tabs>
          <w:tab w:leader="none" w:pos="4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land underlying our cinema in Invercargill, New Zealand;</w:t>
      </w:r>
    </w:p>
    <w:p>
      <w:pPr>
        <w:ind w:left="440" w:hanging="222"/>
        <w:spacing w:after="0"/>
        <w:tabs>
          <w:tab w:leader="none" w:pos="4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non-competitive four-screen cinema in Maitland, Australia;</w:t>
      </w:r>
    </w:p>
    <w:p>
      <w:pPr>
        <w:spacing w:after="0" w:line="1" w:lineRule="exact"/>
        <w:rPr>
          <w:rFonts w:ascii="Times New Roman" w:cs="Times New Roman" w:eastAsia="Times New Roman" w:hAnsi="Times New Roman"/>
          <w:sz w:val="12"/>
          <w:szCs w:val="12"/>
          <w:color w:val="auto"/>
        </w:rPr>
      </w:pPr>
    </w:p>
    <w:p>
      <w:pPr>
        <w:ind w:left="440" w:hanging="222"/>
        <w:spacing w:after="0" w:line="226" w:lineRule="auto"/>
        <w:tabs>
          <w:tab w:leader="none" w:pos="4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administrative office building in Culver City, California;</w:t>
      </w:r>
    </w:p>
    <w:p>
      <w:pPr>
        <w:ind w:left="220" w:right="1800" w:hanging="2"/>
        <w:spacing w:after="0" w:line="241" w:lineRule="auto"/>
        <w:tabs>
          <w:tab w:leader="none" w:pos="475"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January 31, 2025, our approximately 3.7 acre five-parcel assemblage in the entertainment center of Wellington, New Zealand, which includes the Courtenay Central building; and (viii)Most recently, on May 21, 2025, our Cannon Park property in Townsville, Queensland, Australia.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properties were identified for sale and sold for various reasons, such reasons have included without limitation</w:t>
      </w:r>
    </w:p>
    <w:p>
      <w:pPr>
        <w:spacing w:after="0" w:line="8" w:lineRule="exact"/>
        <w:rPr>
          <w:sz w:val="20"/>
          <w:szCs w:val="20"/>
          <w:color w:val="auto"/>
        </w:rPr>
      </w:pPr>
    </w:p>
    <w:p>
      <w:pPr>
        <w:ind w:left="440" w:hanging="222"/>
        <w:spacing w:after="0"/>
        <w:tabs>
          <w:tab w:leader="none" w:pos="4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need for liquidity due to the circumstances referred to above,</w:t>
      </w:r>
    </w:p>
    <w:p>
      <w:pPr>
        <w:ind w:left="440" w:hanging="222"/>
        <w:spacing w:after="0" w:line="226" w:lineRule="auto"/>
        <w:tabs>
          <w:tab w:leader="none" w:pos="4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capital required to materially increase their value in the immediate to mid-term,</w:t>
      </w:r>
    </w:p>
    <w:p>
      <w:pPr>
        <w:ind w:left="440" w:hanging="222"/>
        <w:spacing w:after="0"/>
        <w:tabs>
          <w:tab w:leader="none" w:pos="4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certain assets, their immaterial or non-income producing nature, or</w:t>
      </w:r>
    </w:p>
    <w:p>
      <w:pPr>
        <w:spacing w:after="0" w:line="1" w:lineRule="exact"/>
        <w:rPr>
          <w:rFonts w:ascii="Times New Roman" w:cs="Times New Roman" w:eastAsia="Times New Roman" w:hAnsi="Times New Roman"/>
          <w:sz w:val="12"/>
          <w:szCs w:val="12"/>
          <w:color w:val="auto"/>
        </w:rPr>
      </w:pPr>
    </w:p>
    <w:p>
      <w:pPr>
        <w:ind w:left="440" w:hanging="222"/>
        <w:spacing w:after="0" w:line="241" w:lineRule="auto"/>
        <w:tabs>
          <w:tab w:leader="none" w:pos="4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our Culver City office building, the property was not required for our operations because it exceeded our office size requirements. Since the sale of this office building, we have been working remotely in Southern California.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the date of this Report, we continue to own our approximately 23.9-acre Newberry Yard in Williamsport, Pennsylvania (also currently non-income producing), which is being held for sale.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United States:</w:t>
      </w:r>
    </w:p>
    <w:p>
      <w:pPr>
        <w:spacing w:after="0" w:line="132" w:lineRule="exact"/>
        <w:rPr>
          <w:sz w:val="20"/>
          <w:szCs w:val="20"/>
          <w:color w:val="auto"/>
        </w:rPr>
      </w:pPr>
    </w:p>
    <w:p>
      <w:pPr>
        <w:ind w:left="440"/>
        <w:spacing w:after="0" w:line="246" w:lineRule="auto"/>
        <w:rPr>
          <w:sz w:val="20"/>
          <w:szCs w:val="20"/>
          <w:color w:val="auto"/>
        </w:rPr>
      </w:pPr>
      <w:r>
        <w:rPr>
          <w:rFonts w:ascii="Times New Roman" w:cs="Times New Roman" w:eastAsia="Times New Roman" w:hAnsi="Times New Roman"/>
          <w:sz w:val="12"/>
          <w:szCs w:val="12"/>
          <w:i w:val="1"/>
          <w:iCs w:val="1"/>
          <w:u w:val="single" w:color="auto"/>
          <w:color w:val="auto"/>
        </w:rPr>
        <w:t>44 Union Square Redevelopment (New York, 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On January 27, 2022, we entered a long-term lease with Petco for the lower level, ground floor, and second floor of the building. Petco continues to be open for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business and in occupancy on a full rent paying basis. We continue our efforts to find a tenant for the remaining four floors of the building. As we previously reported, we signed a Letter of Intent and have exchanged lease drafts with one potential tenant which would offer a non-office use. Such Letter of Intent does not prohibit us from reviewing or accepting other proposals and we have received and responded to such alternatives. As the office leasing market in Mid Town South continues to improve, we have experienced increased interest from potential office users.</w:t>
      </w:r>
    </w:p>
    <w:p>
      <w:pPr>
        <w:spacing w:after="0" w:line="253" w:lineRule="exact"/>
        <w:rPr>
          <w:sz w:val="20"/>
          <w:szCs w:val="20"/>
          <w:color w:val="auto"/>
        </w:rPr>
      </w:pPr>
    </w:p>
    <w:p>
      <w:pPr>
        <w:ind w:left="440"/>
        <w:spacing w:after="0" w:line="269" w:lineRule="auto"/>
        <w:rPr>
          <w:sz w:val="20"/>
          <w:szCs w:val="20"/>
          <w:color w:val="auto"/>
        </w:rPr>
      </w:pPr>
      <w:r>
        <w:rPr>
          <w:rFonts w:ascii="Times New Roman" w:cs="Times New Roman" w:eastAsia="Times New Roman" w:hAnsi="Times New Roman"/>
          <w:sz w:val="12"/>
          <w:szCs w:val="12"/>
          <w:i w:val="1"/>
          <w:iCs w:val="1"/>
          <w:u w:val="single" w:color="auto"/>
          <w:color w:val="auto"/>
        </w:rPr>
        <w:t>Minetta Lane Theatre (New York, 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Audible has a license agreement with us through March 15, 2027. Audible presents productions and special live performance engagements on the Audible streaming service.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During 2025, Audible presented a number of original productions , including </w:t>
      </w:r>
      <w:r>
        <w:rPr>
          <w:rFonts w:ascii="Times New Roman" w:cs="Times New Roman" w:eastAsia="Times New Roman" w:hAnsi="Times New Roman"/>
          <w:sz w:val="12"/>
          <w:szCs w:val="12"/>
          <w:i w:val="1"/>
          <w:iCs w:val="1"/>
          <w:color w:val="auto"/>
        </w:rPr>
        <w:t>Sexual Misconduct of the Middle Class</w:t>
      </w:r>
      <w:r>
        <w:rPr>
          <w:rFonts w:ascii="Times New Roman" w:cs="Times New Roman" w:eastAsia="Times New Roman" w:hAnsi="Times New Roman"/>
          <w:sz w:val="12"/>
          <w:szCs w:val="12"/>
          <w:color w:val="auto"/>
        </w:rPr>
        <w:t xml:space="preserve"> with Hugh Jackman, </w:t>
      </w:r>
      <w:r>
        <w:rPr>
          <w:rFonts w:ascii="Times New Roman" w:cs="Times New Roman" w:eastAsia="Times New Roman" w:hAnsi="Times New Roman"/>
          <w:sz w:val="12"/>
          <w:szCs w:val="12"/>
          <w:i w:val="1"/>
          <w:iCs w:val="1"/>
          <w:color w:val="auto"/>
        </w:rPr>
        <w:t>Creditors</w:t>
      </w:r>
      <w:r>
        <w:rPr>
          <w:rFonts w:ascii="Times New Roman" w:cs="Times New Roman" w:eastAsia="Times New Roman" w:hAnsi="Times New Roman"/>
          <w:sz w:val="12"/>
          <w:szCs w:val="12"/>
          <w:color w:val="auto"/>
        </w:rPr>
        <w:t xml:space="preserve"> with Liev Schreiber, and the musical </w:t>
      </w:r>
      <w:r>
        <w:rPr>
          <w:rFonts w:ascii="Times New Roman" w:cs="Times New Roman" w:eastAsia="Times New Roman" w:hAnsi="Times New Roman"/>
          <w:sz w:val="12"/>
          <w:szCs w:val="12"/>
          <w:i w:val="1"/>
          <w:iCs w:val="1"/>
          <w:color w:val="auto"/>
        </w:rPr>
        <w:t>Mexodus</w:t>
      </w:r>
      <w:r>
        <w:rPr>
          <w:rFonts w:ascii="Times New Roman" w:cs="Times New Roman" w:eastAsia="Times New Roman" w:hAnsi="Times New Roman"/>
          <w:sz w:val="12"/>
          <w:szCs w:val="12"/>
          <w:color w:val="auto"/>
        </w:rPr>
        <w:t>.</w:t>
      </w:r>
    </w:p>
    <w:p>
      <w:pPr>
        <w:spacing w:after="0" w:line="240" w:lineRule="exact"/>
        <w:rPr>
          <w:sz w:val="20"/>
          <w:szCs w:val="20"/>
          <w:color w:val="auto"/>
        </w:rPr>
      </w:pPr>
    </w:p>
    <w:p>
      <w:pPr>
        <w:ind w:left="440" w:right="20"/>
        <w:spacing w:after="0" w:line="248" w:lineRule="auto"/>
        <w:rPr>
          <w:sz w:val="20"/>
          <w:szCs w:val="20"/>
          <w:color w:val="auto"/>
        </w:rPr>
      </w:pPr>
      <w:r>
        <w:rPr>
          <w:rFonts w:ascii="Times New Roman" w:cs="Times New Roman" w:eastAsia="Times New Roman" w:hAnsi="Times New Roman"/>
          <w:sz w:val="12"/>
          <w:szCs w:val="12"/>
          <w:i w:val="1"/>
          <w:iCs w:val="1"/>
          <w:u w:val="single" w:color="auto"/>
          <w:color w:val="auto"/>
        </w:rPr>
        <w:t>Orpheum Theatre (New York, N.Y.)</w:t>
      </w:r>
      <w:r>
        <w:rPr>
          <w:rFonts w:ascii="Times New Roman" w:cs="Times New Roman" w:eastAsia="Times New Roman" w:hAnsi="Times New Roman"/>
          <w:sz w:val="12"/>
          <w:szCs w:val="12"/>
          <w:i w:val="1"/>
          <w:iCs w:val="1"/>
          <w:color w:val="auto"/>
        </w:rPr>
        <w:t xml:space="preserve"> – </w:t>
      </w:r>
      <w:r>
        <w:rPr>
          <w:rFonts w:ascii="Times New Roman" w:cs="Times New Roman" w:eastAsia="Times New Roman" w:hAnsi="Times New Roman"/>
          <w:sz w:val="12"/>
          <w:szCs w:val="12"/>
          <w:color w:val="auto"/>
        </w:rPr>
        <w:t>STOMP closed (after 30 years at our theatre) on January 8, 2023. Under our termination agreement with the producers of STOMP, we have certain rights to provide the New York</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City venue for any future production of that show. Following STOMP’s historic run at the Orpheum, the theatre has hosted a variety of productions including Rachel Bloom’s Death, Let Me Do My Show, Hamlet starring Eddie Izzard, The Big Gay Jamboree, The Jonathon Larson Project and a new show, Ginger Twinsies.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248" w:right="299" w:bottom="1440" w:gutter="0" w:footer="0" w:header="0"/>
        </w:sectPr>
      </w:pPr>
    </w:p>
    <w:bookmarkStart w:id="35" w:name="page36"/>
    <w:bookmarkEnd w:id="35"/>
    <w:p>
      <w:pPr>
        <w:ind w:left="440" w:right="20"/>
        <w:spacing w:after="0" w:line="269" w:lineRule="auto"/>
        <w:rPr>
          <w:sz w:val="20"/>
          <w:szCs w:val="20"/>
          <w:color w:val="auto"/>
        </w:rPr>
      </w:pPr>
      <w:r>
        <w:rPr>
          <w:rFonts w:ascii="Times New Roman" w:cs="Times New Roman" w:eastAsia="Times New Roman" w:hAnsi="Times New Roman"/>
          <w:sz w:val="12"/>
          <w:szCs w:val="12"/>
          <w:i w:val="1"/>
          <w:iCs w:val="1"/>
          <w:u w:val="single" w:color="auto"/>
          <w:color w:val="auto"/>
        </w:rPr>
        <w:t>Cinemas 1,2,3 (New York, 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Currently operated as the Cinemas 123, we have historically treated this property as an asset held for long term development. However, in light of a variety of factors, such as market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conditions in Manhattan for real estate assets, cost of capital and demands on our liquidity, we have begun to explore alternatives for this property.</w:t>
      </w:r>
    </w:p>
    <w:p>
      <w:pPr>
        <w:spacing w:after="0" w:line="240" w:lineRule="exact"/>
        <w:rPr>
          <w:sz w:val="20"/>
          <w:szCs w:val="20"/>
          <w:color w:val="auto"/>
        </w:rPr>
      </w:pPr>
    </w:p>
    <w:p>
      <w:pPr>
        <w:ind w:left="440"/>
        <w:spacing w:after="0" w:line="246" w:lineRule="auto"/>
        <w:rPr>
          <w:sz w:val="20"/>
          <w:szCs w:val="20"/>
          <w:color w:val="auto"/>
        </w:rPr>
      </w:pPr>
      <w:r>
        <w:rPr>
          <w:rFonts w:ascii="Times New Roman" w:cs="Times New Roman" w:eastAsia="Times New Roman" w:hAnsi="Times New Roman"/>
          <w:sz w:val="12"/>
          <w:szCs w:val="12"/>
          <w:i w:val="1"/>
          <w:iCs w:val="1"/>
          <w:u w:val="single" w:color="auto"/>
          <w:color w:val="auto"/>
        </w:rPr>
        <w:t>The Reading Viaduct and Adjacent Properties (Philadelphia, Pennsylvania)</w:t>
      </w:r>
      <w:r>
        <w:rPr>
          <w:rFonts w:ascii="Times New Roman" w:cs="Times New Roman" w:eastAsia="Times New Roman" w:hAnsi="Times New Roman"/>
          <w:sz w:val="12"/>
          <w:szCs w:val="12"/>
          <w:i w:val="1"/>
          <w:iCs w:val="1"/>
          <w:color w:val="auto"/>
        </w:rPr>
        <w:t xml:space="preserve"> – </w:t>
      </w:r>
      <w:r>
        <w:rPr>
          <w:rFonts w:ascii="Times New Roman" w:cs="Times New Roman" w:eastAsia="Times New Roman" w:hAnsi="Times New Roman"/>
          <w:sz w:val="12"/>
          <w:szCs w:val="12"/>
          <w:color w:val="auto"/>
        </w:rPr>
        <w:t>This continues to be an area of focus in 2025 as we continue our efforts to maximize the potential of our real estate holdings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Philadelphia. Since 2023, we have resumed work on this project, particularly concentrating on the Reading Viaduct—an 0.7-mile-long raised rail bed and bridge system spanning the Callowhill and Poplar neighborhoods, extending to Vine Street in the heart of the city's Central Business District. Comprising approximately 6.5 acres of land, along with various connecting bridges over public streets and sidewalks, the Reading Viaduct represents a significant contiguous land holding unobstructed by public thoroughfares.</w:t>
      </w:r>
    </w:p>
    <w:p>
      <w:pPr>
        <w:spacing w:after="0" w:line="181" w:lineRule="exact"/>
        <w:rPr>
          <w:sz w:val="20"/>
          <w:szCs w:val="20"/>
          <w:color w:val="auto"/>
        </w:rPr>
      </w:pPr>
    </w:p>
    <w:p>
      <w:pPr>
        <w:jc w:val="both"/>
        <w:ind w:left="440"/>
        <w:spacing w:after="0" w:line="245" w:lineRule="auto"/>
        <w:rPr>
          <w:sz w:val="20"/>
          <w:szCs w:val="20"/>
          <w:color w:val="auto"/>
        </w:rPr>
      </w:pPr>
      <w:r>
        <w:rPr>
          <w:rFonts w:ascii="Times New Roman" w:cs="Times New Roman" w:eastAsia="Times New Roman" w:hAnsi="Times New Roman"/>
          <w:sz w:val="12"/>
          <w:szCs w:val="12"/>
          <w:color w:val="auto"/>
        </w:rPr>
        <w:t>While there has been interest from the City of Philadelphia and the City Center District in acquiring the Reading Viaduct for park purposes, no concrete steps have been taken to proceed with condemnation or transfer of the property other than a petition brought by the City before the Surface Transportation Board (“STB”) seeking a determination that the Reading Viaduct is no longer railroad property subject to the jurisdiction of the STB. Under applicable law, railroad land subject to the jurisdiction of the STB is not subject to condemnation by state or local authorities. The STB has granted the City’s petition insofar as it sought a determination that our prior tenant, SEPTA, had abandoned its rail road use, the determination falls short of deterring our rights as the residual owner of the land in question, and our Company has appealed the STB’s decision.</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We have retained consultants and are working to down-date our various titles, many of which date back to the 19</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2"/>
          <w:szCs w:val="12"/>
          <w:color w:val="auto"/>
        </w:rPr>
        <w:t xml:space="preserve"> century.</w:t>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Australia:</w:t>
      </w:r>
    </w:p>
    <w:p>
      <w:pPr>
        <w:spacing w:after="0" w:line="60" w:lineRule="exact"/>
        <w:rPr>
          <w:sz w:val="20"/>
          <w:szCs w:val="20"/>
          <w:color w:val="auto"/>
        </w:rPr>
      </w:pPr>
    </w:p>
    <w:p>
      <w:pPr>
        <w:ind w:left="440"/>
        <w:spacing w:after="0" w:line="250" w:lineRule="auto"/>
        <w:rPr>
          <w:sz w:val="20"/>
          <w:szCs w:val="20"/>
          <w:color w:val="auto"/>
        </w:rPr>
      </w:pPr>
      <w:r>
        <w:rPr>
          <w:rFonts w:ascii="Times New Roman" w:cs="Times New Roman" w:eastAsia="Times New Roman" w:hAnsi="Times New Roman"/>
          <w:sz w:val="12"/>
          <w:szCs w:val="12"/>
          <w:i w:val="1"/>
          <w:iCs w:val="1"/>
          <w:u w:val="single" w:color="auto"/>
          <w:color w:val="auto"/>
        </w:rPr>
        <w:t>Newmarket Village ETC (Brisbane, Australia)</w:t>
      </w:r>
      <w:r>
        <w:rPr>
          <w:rFonts w:ascii="Times New Roman" w:cs="Times New Roman" w:eastAsia="Times New Roman" w:hAnsi="Times New Roman"/>
          <w:sz w:val="12"/>
          <w:szCs w:val="12"/>
          <w:i w:val="1"/>
          <w:iCs w:val="1"/>
          <w:color w:val="auto"/>
        </w:rPr>
        <w:t xml:space="preserve"> – </w:t>
      </w:r>
      <w:r>
        <w:rPr>
          <w:rFonts w:ascii="Times New Roman" w:cs="Times New Roman" w:eastAsia="Times New Roman" w:hAnsi="Times New Roman"/>
          <w:sz w:val="12"/>
          <w:szCs w:val="12"/>
          <w:color w:val="auto"/>
        </w:rPr>
        <w:t>We will continue to operate our Newmarket Village ETC, which includes Reading Cinemas as an anchor tenant. Our site includes a 23,218 square foot parcel adjacent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center, improved with an office building. Over the next few years, we will be evaluating different development options for this space. As of the date of this report, the combined center and office building is 98% leased.</w:t>
      </w:r>
    </w:p>
    <w:p>
      <w:pPr>
        <w:spacing w:after="0" w:line="392" w:lineRule="exact"/>
        <w:rPr>
          <w:sz w:val="20"/>
          <w:szCs w:val="20"/>
          <w:color w:val="auto"/>
        </w:rPr>
      </w:pPr>
    </w:p>
    <w:p>
      <w:pPr>
        <w:ind w:left="440" w:right="20"/>
        <w:spacing w:after="0" w:line="285" w:lineRule="auto"/>
        <w:rPr>
          <w:sz w:val="20"/>
          <w:szCs w:val="20"/>
          <w:color w:val="auto"/>
        </w:rPr>
      </w:pPr>
      <w:r>
        <w:rPr>
          <w:rFonts w:ascii="Times New Roman" w:cs="Times New Roman" w:eastAsia="Times New Roman" w:hAnsi="Times New Roman"/>
          <w:sz w:val="12"/>
          <w:szCs w:val="12"/>
          <w:i w:val="1"/>
          <w:iCs w:val="1"/>
          <w:u w:val="single" w:color="auto"/>
          <w:color w:val="auto"/>
        </w:rPr>
        <w:t>The Belmont Common, (Belmont, Perth, Australia)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The total gross leasable area of the Belmont Common is 60,117 square feet of net rentable land. Our multiplex cinema is the anchor tenant with six third-party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tenants. The site is currently 100% leased.</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2"/>
          <w:szCs w:val="12"/>
          <w:color w:val="auto"/>
        </w:rPr>
        <w:t>On May 21, 2025, we sold our Cannon Park ETC in Townsville, Queensland, Australia, which consisted of our Cannon Park City Center and Cannon Park Discount Center properties, comprising approximately 9.4-acres, for a purchase price of $20.7 million (AU$32.0 million). We have retained a long-term lease of the cinema component of that property.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New Zealand:</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On January 31, 2025, we sold all of our properties in Wellington, New Zealand (including the Courtenay Central building) to Prime Property Group (“Prime”) for a purchase price of $21.5 million (NZ$38.0 million). We understand that Prime intends to redevelop the properties, including a seismic upgrade of the existing Courtenay Central building. As a part of that sale transaction, we have entered into an Agreement to Lease for the cinema component of the to be upgraded Courtenay Central building.</w:t>
      </w:r>
    </w:p>
    <w:p>
      <w:pPr>
        <w:spacing w:after="0" w:line="1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2"/>
          <w:szCs w:val="12"/>
          <w:color w:val="auto"/>
        </w:rPr>
        <w:t>On October 21, 2025, we entered into a agreement for sale and purchase for our cinema and retail property located in Napier, New Zealand, providing for a purchase price of NZ$2,500,000. The transaction is subject to the satisfactory completion of buyer due diligence No assurances can be given that the transaction will be consummated.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For a complete list of our principal properties, see </w:t>
      </w:r>
      <w:r>
        <w:rPr>
          <w:rFonts w:ascii="Times New Roman" w:cs="Times New Roman" w:eastAsia="Times New Roman" w:hAnsi="Times New Roman"/>
          <w:sz w:val="12"/>
          <w:szCs w:val="12"/>
          <w:i w:val="1"/>
          <w:iCs w:val="1"/>
          <w:color w:val="auto"/>
        </w:rPr>
        <w:t>Part I, Item 2</w:t>
      </w: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i w:val="1"/>
          <w:iCs w:val="1"/>
          <w:color w:val="auto"/>
        </w:rPr>
        <w:t>Properties</w:t>
      </w:r>
      <w:r>
        <w:rPr>
          <w:rFonts w:ascii="Times New Roman" w:cs="Times New Roman" w:eastAsia="Times New Roman" w:hAnsi="Times New Roman"/>
          <w:sz w:val="12"/>
          <w:szCs w:val="12"/>
          <w:color w:val="auto"/>
        </w:rPr>
        <w:t xml:space="preserve"> under the heading “</w:t>
      </w:r>
      <w:r>
        <w:rPr>
          <w:rFonts w:ascii="Times New Roman" w:cs="Times New Roman" w:eastAsia="Times New Roman" w:hAnsi="Times New Roman"/>
          <w:sz w:val="12"/>
          <w:szCs w:val="12"/>
          <w:i w:val="1"/>
          <w:iCs w:val="1"/>
          <w:color w:val="auto"/>
        </w:rPr>
        <w:t>Investment and Development Property”</w:t>
      </w:r>
      <w:r>
        <w:rPr>
          <w:rFonts w:ascii="Times New Roman" w:cs="Times New Roman" w:eastAsia="Times New Roman" w:hAnsi="Times New Roman"/>
          <w:sz w:val="12"/>
          <w:szCs w:val="12"/>
          <w:color w:val="auto"/>
        </w:rPr>
        <w:t xml:space="preserve"> in our 2024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Corporate Matters</w:t>
      </w:r>
    </w:p>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2"/>
          <w:szCs w:val="12"/>
          <w:color w:val="auto"/>
        </w:rPr>
        <w:t xml:space="preserve">Refer to </w:t>
      </w:r>
      <w:r>
        <w:rPr>
          <w:rFonts w:ascii="Times New Roman" w:cs="Times New Roman" w:eastAsia="Times New Roman" w:hAnsi="Times New Roman"/>
          <w:sz w:val="12"/>
          <w:szCs w:val="12"/>
          <w:i w:val="1"/>
          <w:iCs w:val="1"/>
          <w:color w:val="auto"/>
        </w:rPr>
        <w:t>Part I – Financial Information, Item 1 – Notes to Consolidated Financial Statements-- Note 18 – Stock-Based Compensation and Stock Repurchases</w:t>
      </w:r>
      <w:r>
        <w:rPr>
          <w:rFonts w:ascii="Times New Roman" w:cs="Times New Roman" w:eastAsia="Times New Roman" w:hAnsi="Times New Roman"/>
          <w:sz w:val="12"/>
          <w:szCs w:val="12"/>
          <w:color w:val="auto"/>
        </w:rPr>
        <w:t xml:space="preserve"> for details regarding our stock repurchase program and Board, Executive and Employee stock-based remuneration programs.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Please refer to our 2024 Form 10-K for more details on our cinema and real estate segments.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460"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2"/>
          <w:szCs w:val="12"/>
          <w:color w:val="auto"/>
        </w:rPr>
        <w:t>The table below summarizes the results of operations for each of our principal business segments along with the non-segment information for the quarter and nine months ended September 30, 2025, and September 30, 2024, respectively: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Quarter Ended</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60" w:type="dxa"/>
            <w:vAlign w:val="bottom"/>
            <w:gridSpan w:val="6"/>
          </w:tcPr>
          <w:p>
            <w:pPr>
              <w:ind w:left="68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20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gridSpan w:val="2"/>
          </w:tcPr>
          <w:p>
            <w:pPr>
              <w:ind w:left="140"/>
              <w:spacing w:after="0" w:line="9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30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jc w:val="right"/>
              <w:ind w:right="270"/>
              <w:spacing w:after="0" w:line="9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00" w:type="dxa"/>
            <w:vAlign w:val="bottom"/>
          </w:tcPr>
          <w:p>
            <w:pPr>
              <w:spacing w:after="0"/>
              <w:rPr>
                <w:sz w:val="8"/>
                <w:szCs w:val="8"/>
                <w:color w:val="auto"/>
              </w:rPr>
            </w:pPr>
          </w:p>
        </w:tc>
        <w:tc>
          <w:tcPr>
            <w:tcW w:w="720" w:type="dxa"/>
            <w:vAlign w:val="bottom"/>
          </w:tcPr>
          <w:p>
            <w:pPr>
              <w:jc w:val="right"/>
              <w:ind w:right="110"/>
              <w:spacing w:after="0" w:line="94" w:lineRule="exact"/>
              <w:rPr>
                <w:sz w:val="20"/>
                <w:szCs w:val="20"/>
                <w:color w:val="auto"/>
              </w:rPr>
            </w:pPr>
            <w:r>
              <w:rPr>
                <w:rFonts w:ascii="Times New Roman" w:cs="Times New Roman" w:eastAsia="Times New Roman" w:hAnsi="Times New Roman"/>
                <w:sz w:val="10"/>
                <w:szCs w:val="10"/>
                <w:b w:val="1"/>
                <w:bCs w:val="1"/>
                <w:color w:val="auto"/>
              </w:rPr>
              <w:t>Fav/</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gridSpan w:val="2"/>
          </w:tcPr>
          <w:p>
            <w:pPr>
              <w:jc w:val="right"/>
              <w:ind w:right="360"/>
              <w:spacing w:after="0" w:line="9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jc w:val="right"/>
              <w:ind w:right="270"/>
              <w:spacing w:after="0" w:line="9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80" w:type="dxa"/>
            <w:vAlign w:val="bottom"/>
          </w:tcPr>
          <w:p>
            <w:pPr>
              <w:spacing w:after="0"/>
              <w:rPr>
                <w:sz w:val="8"/>
                <w:szCs w:val="8"/>
                <w:color w:val="auto"/>
              </w:rPr>
            </w:pPr>
          </w:p>
        </w:tc>
        <w:tc>
          <w:tcPr>
            <w:tcW w:w="960" w:type="dxa"/>
            <w:vAlign w:val="bottom"/>
          </w:tcPr>
          <w:p>
            <w:pPr>
              <w:jc w:val="right"/>
              <w:ind w:right="210"/>
              <w:spacing w:after="0" w:line="94" w:lineRule="exact"/>
              <w:rPr>
                <w:sz w:val="20"/>
                <w:szCs w:val="20"/>
                <w:color w:val="auto"/>
              </w:rPr>
            </w:pPr>
            <w:r>
              <w:rPr>
                <w:rFonts w:ascii="Times New Roman" w:cs="Times New Roman" w:eastAsia="Times New Roman" w:hAnsi="Times New Roman"/>
                <w:sz w:val="10"/>
                <w:szCs w:val="10"/>
                <w:b w:val="1"/>
                <w:bCs w:val="1"/>
                <w:color w:val="auto"/>
              </w:rPr>
              <w:t>Fav/</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36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0"/>
                <w:szCs w:val="1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0"/>
                <w:szCs w:val="10"/>
                <w:b w:val="1"/>
                <w:bCs w:val="1"/>
                <w:color w:val="auto"/>
              </w:rPr>
              <w:t>‎(Unfav)</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right"/>
              <w:ind w:right="450"/>
              <w:spacing w:after="0"/>
              <w:rPr>
                <w:sz w:val="20"/>
                <w:szCs w:val="20"/>
                <w:color w:val="auto"/>
              </w:rPr>
            </w:pPr>
            <w:r>
              <w:rPr>
                <w:rFonts w:ascii="Times New Roman" w:cs="Times New Roman" w:eastAsia="Times New Roman" w:hAnsi="Times New Roman"/>
                <w:sz w:val="10"/>
                <w:szCs w:val="10"/>
                <w:b w:val="1"/>
                <w:bCs w:val="1"/>
                <w:color w:val="auto"/>
              </w:rPr>
              <w:t>2025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10"/>
                <w:szCs w:val="10"/>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0"/>
                <w:szCs w:val="10"/>
                <w:b w:val="1"/>
                <w:bCs w:val="1"/>
                <w:color w:val="auto"/>
              </w:rPr>
              <w:t>‎(Unfav)</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580" w:type="dxa"/>
            <w:vAlign w:val="bottom"/>
            <w:tcBorders>
              <w:top w:val="single" w:sz="8" w:color="auto"/>
            </w:tcBorders>
            <w:shd w:val="clear" w:color="auto" w:fill="CCEEFF"/>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SEGMENT RESULTS</w:t>
            </w: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660" w:type="dxa"/>
            <w:vAlign w:val="bottom"/>
            <w:gridSpan w:val="2"/>
          </w:tcPr>
          <w:p>
            <w:pPr>
              <w:ind w:left="300"/>
              <w:spacing w:after="0" w:line="112" w:lineRule="exact"/>
              <w:rPr>
                <w:sz w:val="20"/>
                <w:szCs w:val="20"/>
                <w:color w:val="auto"/>
              </w:rPr>
            </w:pPr>
            <w:r>
              <w:rPr>
                <w:rFonts w:ascii="Times New Roman" w:cs="Times New Roman" w:eastAsia="Times New Roman" w:hAnsi="Times New Roman"/>
                <w:sz w:val="10"/>
                <w:szCs w:val="10"/>
                <w:b w:val="1"/>
                <w:bCs w:val="1"/>
                <w:color w:val="auto"/>
              </w:rPr>
              <w:t>Revenue</w:t>
            </w: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660" w:type="dxa"/>
            <w:vAlign w:val="bottom"/>
            <w:gridSpan w:val="2"/>
            <w:shd w:val="clear" w:color="auto" w:fill="CCEEFF"/>
          </w:tcPr>
          <w:p>
            <w:pPr>
              <w:ind w:left="380"/>
              <w:spacing w:after="0" w:line="112" w:lineRule="exact"/>
              <w:rPr>
                <w:sz w:val="20"/>
                <w:szCs w:val="20"/>
                <w:color w:val="auto"/>
              </w:rPr>
            </w:pPr>
            <w:r>
              <w:rPr>
                <w:rFonts w:ascii="Times New Roman" w:cs="Times New Roman" w:eastAsia="Times New Roman" w:hAnsi="Times New Roman"/>
                <w:sz w:val="10"/>
                <w:szCs w:val="10"/>
                <w:color w:val="auto"/>
              </w:rPr>
              <w:t>Cinema exhibition</w:t>
            </w:r>
          </w:p>
        </w:tc>
        <w:tc>
          <w:tcPr>
            <w:tcW w:w="200" w:type="dxa"/>
            <w:vAlign w:val="bottom"/>
            <w:shd w:val="clear" w:color="auto" w:fill="CCEEFF"/>
          </w:tcPr>
          <w:p>
            <w:pPr>
              <w:jc w:val="right"/>
              <w:ind w:right="9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48,555</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56,357</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(14)</w:t>
            </w:r>
          </w:p>
        </w:tc>
        <w:tc>
          <w:tcPr>
            <w:tcW w:w="240" w:type="dxa"/>
            <w:vAlign w:val="bottom"/>
            <w:shd w:val="clear" w:color="auto" w:fill="CCEEFF"/>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260" w:type="dxa"/>
            <w:vAlign w:val="bottom"/>
            <w:gridSpan w:val="2"/>
            <w:shd w:val="clear" w:color="auto" w:fill="CCEEFF"/>
          </w:tcPr>
          <w:p>
            <w:pPr>
              <w:jc w:val="right"/>
              <w:ind w:right="115"/>
              <w:spacing w:after="0" w:line="112" w:lineRule="exact"/>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141,740</w:t>
            </w:r>
          </w:p>
        </w:tc>
        <w:tc>
          <w:tcPr>
            <w:tcW w:w="6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115"/>
              <w:spacing w:after="0" w:line="112" w:lineRule="exact"/>
              <w:rPr>
                <w:sz w:val="20"/>
                <w:szCs w:val="20"/>
                <w:color w:val="auto"/>
              </w:rPr>
            </w:pPr>
            <w:r>
              <w:rPr>
                <w:rFonts w:ascii="Times New Roman" w:cs="Times New Roman" w:eastAsia="Times New Roman" w:hAnsi="Times New Roman"/>
                <w:sz w:val="10"/>
                <w:szCs w:val="10"/>
                <w:color w:val="auto"/>
              </w:rPr>
              <w:t>$</w:t>
            </w:r>
          </w:p>
        </w:tc>
        <w:tc>
          <w:tcPr>
            <w:tcW w:w="114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140,570</w:t>
            </w:r>
          </w:p>
        </w:tc>
        <w:tc>
          <w:tcPr>
            <w:tcW w:w="960" w:type="dxa"/>
            <w:vAlign w:val="bottom"/>
            <w:shd w:val="clear" w:color="auto" w:fill="CCEEFF"/>
          </w:tcPr>
          <w:p>
            <w:pPr>
              <w:jc w:val="right"/>
              <w:ind w:right="30"/>
              <w:spacing w:after="0" w:line="112" w:lineRule="exact"/>
              <w:rPr>
                <w:sz w:val="20"/>
                <w:szCs w:val="20"/>
                <w:color w:val="auto"/>
              </w:rPr>
            </w:pPr>
            <w:r>
              <w:rPr>
                <w:rFonts w:ascii="Times New Roman" w:cs="Times New Roman" w:eastAsia="Times New Roman" w:hAnsi="Times New Roman"/>
                <w:sz w:val="10"/>
                <w:szCs w:val="10"/>
                <w:color w:val="auto"/>
              </w:rPr>
              <w:t>1</w:t>
            </w:r>
          </w:p>
        </w:tc>
        <w:tc>
          <w:tcPr>
            <w:tcW w:w="280" w:type="dxa"/>
            <w:vAlign w:val="bottom"/>
            <w:shd w:val="clear" w:color="auto" w:fill="CCEEFF"/>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12"/>
        </w:trPr>
        <w:tc>
          <w:tcPr>
            <w:tcW w:w="3660" w:type="dxa"/>
            <w:vAlign w:val="bottom"/>
            <w:gridSpan w:val="2"/>
          </w:tcPr>
          <w:p>
            <w:pPr>
              <w:ind w:left="380"/>
              <w:spacing w:after="0" w:line="112" w:lineRule="exact"/>
              <w:rPr>
                <w:sz w:val="20"/>
                <w:szCs w:val="20"/>
                <w:color w:val="auto"/>
              </w:rPr>
            </w:pPr>
            <w:r>
              <w:rPr>
                <w:rFonts w:ascii="Times New Roman" w:cs="Times New Roman" w:eastAsia="Times New Roman" w:hAnsi="Times New Roman"/>
                <w:sz w:val="10"/>
                <w:szCs w:val="10"/>
                <w:color w:val="auto"/>
              </w:rPr>
              <w:t>Real estate</w:t>
            </w:r>
          </w:p>
        </w:tc>
        <w:tc>
          <w:tcPr>
            <w:tcW w:w="200" w:type="dxa"/>
            <w:vAlign w:val="bottom"/>
          </w:tcPr>
          <w:p>
            <w:pPr>
              <w:spacing w:after="0"/>
              <w:rPr>
                <w:sz w:val="9"/>
                <w:szCs w:val="9"/>
                <w:color w:val="auto"/>
              </w:rPr>
            </w:pPr>
          </w:p>
        </w:tc>
        <w:tc>
          <w:tcPr>
            <w:tcW w:w="10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4,567</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4,898</w:t>
            </w:r>
          </w:p>
        </w:tc>
        <w:tc>
          <w:tcPr>
            <w:tcW w:w="100" w:type="dxa"/>
            <w:vAlign w:val="bottom"/>
          </w:tcPr>
          <w:p>
            <w:pPr>
              <w:spacing w:after="0"/>
              <w:rPr>
                <w:sz w:val="9"/>
                <w:szCs w:val="9"/>
                <w:color w:val="auto"/>
              </w:rPr>
            </w:pPr>
          </w:p>
        </w:tc>
        <w:tc>
          <w:tcPr>
            <w:tcW w:w="7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(7)</w:t>
            </w:r>
          </w:p>
        </w:tc>
        <w:tc>
          <w:tcPr>
            <w:tcW w:w="240" w:type="dxa"/>
            <w:vAlign w:val="bottom"/>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14,065</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14,844</w:t>
            </w:r>
          </w:p>
        </w:tc>
        <w:tc>
          <w:tcPr>
            <w:tcW w:w="960" w:type="dxa"/>
            <w:vAlign w:val="bottom"/>
          </w:tcPr>
          <w:p>
            <w:pPr>
              <w:jc w:val="right"/>
              <w:ind w:right="30"/>
              <w:spacing w:after="0" w:line="112" w:lineRule="exact"/>
              <w:rPr>
                <w:sz w:val="20"/>
                <w:szCs w:val="20"/>
                <w:color w:val="auto"/>
              </w:rPr>
            </w:pPr>
            <w:r>
              <w:rPr>
                <w:rFonts w:ascii="Times New Roman" w:cs="Times New Roman" w:eastAsia="Times New Roman" w:hAnsi="Times New Roman"/>
                <w:sz w:val="10"/>
                <w:szCs w:val="10"/>
                <w:color w:val="auto"/>
              </w:rPr>
              <w:t>(5)</w:t>
            </w:r>
          </w:p>
        </w:tc>
        <w:tc>
          <w:tcPr>
            <w:tcW w:w="280" w:type="dxa"/>
            <w:vAlign w:val="bottom"/>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12"/>
        </w:trPr>
        <w:tc>
          <w:tcPr>
            <w:tcW w:w="3660" w:type="dxa"/>
            <w:vAlign w:val="bottom"/>
            <w:gridSpan w:val="2"/>
            <w:shd w:val="clear" w:color="auto" w:fill="CCEEFF"/>
          </w:tcPr>
          <w:p>
            <w:pPr>
              <w:ind w:left="380"/>
              <w:spacing w:after="0" w:line="112" w:lineRule="exact"/>
              <w:rPr>
                <w:sz w:val="20"/>
                <w:szCs w:val="20"/>
                <w:color w:val="auto"/>
              </w:rPr>
            </w:pPr>
            <w:r>
              <w:rPr>
                <w:rFonts w:ascii="Times New Roman" w:cs="Times New Roman" w:eastAsia="Times New Roman" w:hAnsi="Times New Roman"/>
                <w:sz w:val="10"/>
                <w:szCs w:val="10"/>
                <w:color w:val="auto"/>
              </w:rPr>
              <w:t>Inter-segment elimination</w:t>
            </w:r>
          </w:p>
        </w:tc>
        <w:tc>
          <w:tcPr>
            <w:tcW w:w="200" w:type="dxa"/>
            <w:vAlign w:val="bottom"/>
            <w:shd w:val="clear" w:color="auto" w:fill="CCEEFF"/>
          </w:tcPr>
          <w:p>
            <w:pPr>
              <w:spacing w:after="0"/>
              <w:rPr>
                <w:sz w:val="9"/>
                <w:szCs w:val="9"/>
                <w:color w:val="auto"/>
              </w:rPr>
            </w:pPr>
          </w:p>
        </w:tc>
        <w:tc>
          <w:tcPr>
            <w:tcW w:w="116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(952)</w:t>
            </w:r>
          </w:p>
        </w:tc>
        <w:tc>
          <w:tcPr>
            <w:tcW w:w="3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(1,165)</w:t>
            </w:r>
          </w:p>
        </w:tc>
        <w:tc>
          <w:tcPr>
            <w:tcW w:w="7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18</w:t>
            </w:r>
          </w:p>
        </w:tc>
        <w:tc>
          <w:tcPr>
            <w:tcW w:w="240" w:type="dxa"/>
            <w:vAlign w:val="bottom"/>
            <w:shd w:val="clear" w:color="auto" w:fill="CCEEFF"/>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(3,089)</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(3,463)</w:t>
            </w:r>
          </w:p>
        </w:tc>
        <w:tc>
          <w:tcPr>
            <w:tcW w:w="960" w:type="dxa"/>
            <w:vAlign w:val="bottom"/>
            <w:shd w:val="clear" w:color="auto" w:fill="CCEEFF"/>
          </w:tcPr>
          <w:p>
            <w:pPr>
              <w:jc w:val="right"/>
              <w:ind w:right="30"/>
              <w:spacing w:after="0" w:line="112" w:lineRule="exact"/>
              <w:rPr>
                <w:sz w:val="20"/>
                <w:szCs w:val="20"/>
                <w:color w:val="auto"/>
              </w:rPr>
            </w:pPr>
            <w:r>
              <w:rPr>
                <w:rFonts w:ascii="Times New Roman" w:cs="Times New Roman" w:eastAsia="Times New Roman" w:hAnsi="Times New Roman"/>
                <w:sz w:val="10"/>
                <w:szCs w:val="10"/>
                <w:color w:val="auto"/>
              </w:rPr>
              <w:t>11</w:t>
            </w:r>
          </w:p>
        </w:tc>
        <w:tc>
          <w:tcPr>
            <w:tcW w:w="280" w:type="dxa"/>
            <w:vAlign w:val="bottom"/>
            <w:shd w:val="clear" w:color="auto" w:fill="CCEEFF"/>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10"/>
        </w:trPr>
        <w:tc>
          <w:tcPr>
            <w:tcW w:w="3660" w:type="dxa"/>
            <w:vAlign w:val="bottom"/>
            <w:gridSpan w:val="2"/>
          </w:tcPr>
          <w:p>
            <w:pPr>
              <w:ind w:left="380"/>
              <w:spacing w:after="0" w:line="111" w:lineRule="exact"/>
              <w:rPr>
                <w:sz w:val="20"/>
                <w:szCs w:val="20"/>
                <w:color w:val="auto"/>
              </w:rPr>
            </w:pPr>
            <w:r>
              <w:rPr>
                <w:rFonts w:ascii="Times New Roman" w:cs="Times New Roman" w:eastAsia="Times New Roman" w:hAnsi="Times New Roman"/>
                <w:sz w:val="10"/>
                <w:szCs w:val="10"/>
                <w:color w:val="auto"/>
              </w:rPr>
              <w:t>Total revenue</w:t>
            </w:r>
          </w:p>
        </w:tc>
        <w:tc>
          <w:tcPr>
            <w:tcW w:w="20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0"/>
                <w:szCs w:val="10"/>
                <w:color w:val="auto"/>
              </w:rPr>
              <w:t>52,170</w:t>
            </w:r>
          </w:p>
        </w:tc>
        <w:tc>
          <w:tcPr>
            <w:tcW w:w="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0"/>
                <w:szCs w:val="10"/>
                <w:color w:val="auto"/>
              </w:rPr>
              <w:t>60,090</w:t>
            </w:r>
          </w:p>
        </w:tc>
        <w:tc>
          <w:tcPr>
            <w:tcW w:w="100" w:type="dxa"/>
            <w:vAlign w:val="bottom"/>
          </w:tcPr>
          <w:p>
            <w:pPr>
              <w:spacing w:after="0"/>
              <w:rPr>
                <w:sz w:val="9"/>
                <w:szCs w:val="9"/>
                <w:color w:val="auto"/>
              </w:rPr>
            </w:pPr>
          </w:p>
        </w:tc>
        <w:tc>
          <w:tcPr>
            <w:tcW w:w="720" w:type="dxa"/>
            <w:vAlign w:val="bottom"/>
            <w:tcBorders>
              <w:top w:val="single" w:sz="8" w:color="auto"/>
            </w:tcBorders>
          </w:tcPr>
          <w:p>
            <w:pPr>
              <w:jc w:val="right"/>
              <w:ind w:right="10"/>
              <w:spacing w:after="0" w:line="111" w:lineRule="exact"/>
              <w:rPr>
                <w:sz w:val="20"/>
                <w:szCs w:val="20"/>
                <w:color w:val="auto"/>
              </w:rPr>
            </w:pPr>
            <w:r>
              <w:rPr>
                <w:rFonts w:ascii="Times New Roman" w:cs="Times New Roman" w:eastAsia="Times New Roman" w:hAnsi="Times New Roman"/>
                <w:sz w:val="11"/>
                <w:szCs w:val="11"/>
                <w:color w:val="auto"/>
              </w:rPr>
              <w:t>(13)</w:t>
            </w:r>
          </w:p>
        </w:tc>
        <w:tc>
          <w:tcPr>
            <w:tcW w:w="240" w:type="dxa"/>
            <w:vAlign w:val="bottom"/>
            <w:tcBorders>
              <w:top w:val="single" w:sz="8" w:color="auto"/>
            </w:tcBorders>
          </w:tcPr>
          <w:p>
            <w:pPr>
              <w:jc w:val="center"/>
              <w:ind w:right="30"/>
              <w:spacing w:after="0" w:line="111"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0"/>
                <w:szCs w:val="10"/>
                <w:color w:val="auto"/>
              </w:rPr>
              <w:t>152,716</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0"/>
                <w:szCs w:val="10"/>
                <w:color w:val="auto"/>
              </w:rPr>
              <w:t>151,951</w:t>
            </w:r>
          </w:p>
        </w:tc>
        <w:tc>
          <w:tcPr>
            <w:tcW w:w="80" w:type="dxa"/>
            <w:vAlign w:val="bottom"/>
          </w:tcPr>
          <w:p>
            <w:pPr>
              <w:spacing w:after="0"/>
              <w:rPr>
                <w:sz w:val="9"/>
                <w:szCs w:val="9"/>
                <w:color w:val="auto"/>
              </w:rPr>
            </w:pPr>
          </w:p>
        </w:tc>
        <w:tc>
          <w:tcPr>
            <w:tcW w:w="960" w:type="dxa"/>
            <w:vAlign w:val="bottom"/>
            <w:tcBorders>
              <w:top w:val="single" w:sz="8" w:color="auto"/>
            </w:tcBorders>
          </w:tcPr>
          <w:p>
            <w:pPr>
              <w:jc w:val="right"/>
              <w:ind w:right="30"/>
              <w:spacing w:after="0" w:line="111" w:lineRule="exact"/>
              <w:rPr>
                <w:sz w:val="20"/>
                <w:szCs w:val="20"/>
                <w:color w:val="auto"/>
              </w:rPr>
            </w:pPr>
            <w:r>
              <w:rPr>
                <w:rFonts w:ascii="Times New Roman" w:cs="Times New Roman" w:eastAsia="Times New Roman" w:hAnsi="Times New Roman"/>
                <w:sz w:val="10"/>
                <w:szCs w:val="10"/>
                <w:color w:val="auto"/>
              </w:rPr>
              <w:t>1</w:t>
            </w:r>
          </w:p>
        </w:tc>
        <w:tc>
          <w:tcPr>
            <w:tcW w:w="280" w:type="dxa"/>
            <w:vAlign w:val="bottom"/>
            <w:tcBorders>
              <w:top w:val="single" w:sz="8" w:color="auto"/>
            </w:tcBorders>
          </w:tcPr>
          <w:p>
            <w:pPr>
              <w:jc w:val="center"/>
              <w:ind w:right="30"/>
              <w:spacing w:after="0" w:line="111"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12"/>
        </w:trPr>
        <w:tc>
          <w:tcPr>
            <w:tcW w:w="3660" w:type="dxa"/>
            <w:vAlign w:val="bottom"/>
            <w:gridSpan w:val="2"/>
            <w:shd w:val="clear" w:color="auto" w:fill="CCEEFF"/>
          </w:tcPr>
          <w:p>
            <w:pPr>
              <w:ind w:left="300"/>
              <w:spacing w:after="0" w:line="112" w:lineRule="exact"/>
              <w:rPr>
                <w:sz w:val="20"/>
                <w:szCs w:val="20"/>
                <w:color w:val="auto"/>
              </w:rPr>
            </w:pPr>
            <w:r>
              <w:rPr>
                <w:rFonts w:ascii="Times New Roman" w:cs="Times New Roman" w:eastAsia="Times New Roman" w:hAnsi="Times New Roman"/>
                <w:sz w:val="10"/>
                <w:szCs w:val="10"/>
                <w:b w:val="1"/>
                <w:bCs w:val="1"/>
                <w:color w:val="auto"/>
              </w:rPr>
              <w:t>Operating expense</w:t>
            </w: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660" w:type="dxa"/>
            <w:vAlign w:val="bottom"/>
            <w:gridSpan w:val="2"/>
          </w:tcPr>
          <w:p>
            <w:pPr>
              <w:ind w:left="380"/>
              <w:spacing w:after="0" w:line="112" w:lineRule="exact"/>
              <w:rPr>
                <w:sz w:val="20"/>
                <w:szCs w:val="20"/>
                <w:color w:val="auto"/>
              </w:rPr>
            </w:pPr>
            <w:r>
              <w:rPr>
                <w:rFonts w:ascii="Times New Roman" w:cs="Times New Roman" w:eastAsia="Times New Roman" w:hAnsi="Times New Roman"/>
                <w:sz w:val="10"/>
                <w:szCs w:val="10"/>
                <w:color w:val="auto"/>
              </w:rPr>
              <w:t>Cinema exhibition</w:t>
            </w:r>
          </w:p>
        </w:tc>
        <w:tc>
          <w:tcPr>
            <w:tcW w:w="200" w:type="dxa"/>
            <w:vAlign w:val="bottom"/>
          </w:tcPr>
          <w:p>
            <w:pPr>
              <w:spacing w:after="0"/>
              <w:rPr>
                <w:sz w:val="9"/>
                <w:szCs w:val="9"/>
                <w:color w:val="auto"/>
              </w:rPr>
            </w:pPr>
          </w:p>
        </w:tc>
        <w:tc>
          <w:tcPr>
            <w:tcW w:w="10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(43,694)</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(50,633)</w:t>
            </w:r>
          </w:p>
        </w:tc>
        <w:tc>
          <w:tcPr>
            <w:tcW w:w="7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14</w:t>
            </w:r>
          </w:p>
        </w:tc>
        <w:tc>
          <w:tcPr>
            <w:tcW w:w="240" w:type="dxa"/>
            <w:vAlign w:val="bottom"/>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(129,292)</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(136,407)</w:t>
            </w:r>
          </w:p>
        </w:tc>
        <w:tc>
          <w:tcPr>
            <w:tcW w:w="960" w:type="dxa"/>
            <w:vAlign w:val="bottom"/>
          </w:tcPr>
          <w:p>
            <w:pPr>
              <w:jc w:val="right"/>
              <w:ind w:right="30"/>
              <w:spacing w:after="0" w:line="112" w:lineRule="exact"/>
              <w:rPr>
                <w:sz w:val="20"/>
                <w:szCs w:val="20"/>
                <w:color w:val="auto"/>
              </w:rPr>
            </w:pPr>
            <w:r>
              <w:rPr>
                <w:rFonts w:ascii="Times New Roman" w:cs="Times New Roman" w:eastAsia="Times New Roman" w:hAnsi="Times New Roman"/>
                <w:sz w:val="10"/>
                <w:szCs w:val="10"/>
                <w:color w:val="auto"/>
              </w:rPr>
              <w:t>5</w:t>
            </w:r>
          </w:p>
        </w:tc>
        <w:tc>
          <w:tcPr>
            <w:tcW w:w="280" w:type="dxa"/>
            <w:vAlign w:val="bottom"/>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12"/>
        </w:trPr>
        <w:tc>
          <w:tcPr>
            <w:tcW w:w="3660" w:type="dxa"/>
            <w:vAlign w:val="bottom"/>
            <w:gridSpan w:val="2"/>
            <w:shd w:val="clear" w:color="auto" w:fill="CCEEFF"/>
          </w:tcPr>
          <w:p>
            <w:pPr>
              <w:ind w:left="380"/>
              <w:spacing w:after="0" w:line="112" w:lineRule="exact"/>
              <w:rPr>
                <w:sz w:val="20"/>
                <w:szCs w:val="20"/>
                <w:color w:val="auto"/>
              </w:rPr>
            </w:pPr>
            <w:r>
              <w:rPr>
                <w:rFonts w:ascii="Times New Roman" w:cs="Times New Roman" w:eastAsia="Times New Roman" w:hAnsi="Times New Roman"/>
                <w:sz w:val="10"/>
                <w:szCs w:val="10"/>
                <w:color w:val="auto"/>
              </w:rPr>
              <w:t>Real estate</w:t>
            </w: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(1,863)</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(2,106)</w:t>
            </w:r>
          </w:p>
        </w:tc>
        <w:tc>
          <w:tcPr>
            <w:tcW w:w="7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12</w:t>
            </w:r>
          </w:p>
        </w:tc>
        <w:tc>
          <w:tcPr>
            <w:tcW w:w="240" w:type="dxa"/>
            <w:vAlign w:val="bottom"/>
            <w:shd w:val="clear" w:color="auto" w:fill="CCEEFF"/>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(5,658)</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(6,801)</w:t>
            </w:r>
          </w:p>
        </w:tc>
        <w:tc>
          <w:tcPr>
            <w:tcW w:w="960" w:type="dxa"/>
            <w:vAlign w:val="bottom"/>
            <w:shd w:val="clear" w:color="auto" w:fill="CCEEFF"/>
          </w:tcPr>
          <w:p>
            <w:pPr>
              <w:jc w:val="right"/>
              <w:ind w:right="30"/>
              <w:spacing w:after="0" w:line="112" w:lineRule="exact"/>
              <w:rPr>
                <w:sz w:val="20"/>
                <w:szCs w:val="20"/>
                <w:color w:val="auto"/>
              </w:rPr>
            </w:pPr>
            <w:r>
              <w:rPr>
                <w:rFonts w:ascii="Times New Roman" w:cs="Times New Roman" w:eastAsia="Times New Roman" w:hAnsi="Times New Roman"/>
                <w:sz w:val="10"/>
                <w:szCs w:val="10"/>
                <w:color w:val="auto"/>
              </w:rPr>
              <w:t>17</w:t>
            </w:r>
          </w:p>
        </w:tc>
        <w:tc>
          <w:tcPr>
            <w:tcW w:w="280" w:type="dxa"/>
            <w:vAlign w:val="bottom"/>
            <w:shd w:val="clear" w:color="auto" w:fill="CCEEFF"/>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12"/>
        </w:trPr>
        <w:tc>
          <w:tcPr>
            <w:tcW w:w="3660" w:type="dxa"/>
            <w:vAlign w:val="bottom"/>
            <w:gridSpan w:val="2"/>
          </w:tcPr>
          <w:p>
            <w:pPr>
              <w:ind w:left="380"/>
              <w:spacing w:after="0" w:line="112" w:lineRule="exact"/>
              <w:rPr>
                <w:sz w:val="20"/>
                <w:szCs w:val="20"/>
                <w:color w:val="auto"/>
              </w:rPr>
            </w:pPr>
            <w:r>
              <w:rPr>
                <w:rFonts w:ascii="Times New Roman" w:cs="Times New Roman" w:eastAsia="Times New Roman" w:hAnsi="Times New Roman"/>
                <w:sz w:val="10"/>
                <w:szCs w:val="10"/>
                <w:color w:val="auto"/>
              </w:rPr>
              <w:t>Inter-segment elimination</w:t>
            </w:r>
          </w:p>
        </w:tc>
        <w:tc>
          <w:tcPr>
            <w:tcW w:w="200" w:type="dxa"/>
            <w:vAlign w:val="bottom"/>
          </w:tcPr>
          <w:p>
            <w:pPr>
              <w:spacing w:after="0"/>
              <w:rPr>
                <w:sz w:val="9"/>
                <w:szCs w:val="9"/>
                <w:color w:val="auto"/>
              </w:rPr>
            </w:pPr>
          </w:p>
        </w:tc>
        <w:tc>
          <w:tcPr>
            <w:tcW w:w="116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952</w:t>
            </w:r>
          </w:p>
        </w:tc>
        <w:tc>
          <w:tcPr>
            <w:tcW w:w="300" w:type="dxa"/>
            <w:vAlign w:val="bottom"/>
          </w:tcPr>
          <w:p>
            <w:pPr>
              <w:spacing w:after="0"/>
              <w:rPr>
                <w:sz w:val="9"/>
                <w:szCs w:val="9"/>
                <w:color w:val="auto"/>
              </w:rPr>
            </w:pPr>
          </w:p>
        </w:tc>
        <w:tc>
          <w:tcPr>
            <w:tcW w:w="9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1,165</w:t>
            </w:r>
          </w:p>
        </w:tc>
        <w:tc>
          <w:tcPr>
            <w:tcW w:w="100" w:type="dxa"/>
            <w:vAlign w:val="bottom"/>
          </w:tcPr>
          <w:p>
            <w:pPr>
              <w:spacing w:after="0"/>
              <w:rPr>
                <w:sz w:val="9"/>
                <w:szCs w:val="9"/>
                <w:color w:val="auto"/>
              </w:rPr>
            </w:pPr>
          </w:p>
        </w:tc>
        <w:tc>
          <w:tcPr>
            <w:tcW w:w="7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(18)</w:t>
            </w:r>
          </w:p>
        </w:tc>
        <w:tc>
          <w:tcPr>
            <w:tcW w:w="240" w:type="dxa"/>
            <w:vAlign w:val="bottom"/>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3,089</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3,463</w:t>
            </w:r>
          </w:p>
        </w:tc>
        <w:tc>
          <w:tcPr>
            <w:tcW w:w="960" w:type="dxa"/>
            <w:vAlign w:val="bottom"/>
          </w:tcPr>
          <w:p>
            <w:pPr>
              <w:jc w:val="right"/>
              <w:ind w:right="30"/>
              <w:spacing w:after="0" w:line="112" w:lineRule="exact"/>
              <w:rPr>
                <w:sz w:val="20"/>
                <w:szCs w:val="20"/>
                <w:color w:val="auto"/>
              </w:rPr>
            </w:pPr>
            <w:r>
              <w:rPr>
                <w:rFonts w:ascii="Times New Roman" w:cs="Times New Roman" w:eastAsia="Times New Roman" w:hAnsi="Times New Roman"/>
                <w:sz w:val="10"/>
                <w:szCs w:val="10"/>
                <w:color w:val="auto"/>
              </w:rPr>
              <w:t>(11)</w:t>
            </w:r>
          </w:p>
        </w:tc>
        <w:tc>
          <w:tcPr>
            <w:tcW w:w="280" w:type="dxa"/>
            <w:vAlign w:val="bottom"/>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01"/>
        </w:trPr>
        <w:tc>
          <w:tcPr>
            <w:tcW w:w="3660" w:type="dxa"/>
            <w:vAlign w:val="bottom"/>
            <w:tcBorders>
              <w:top w:val="single" w:sz="8" w:color="CCEEFF"/>
            </w:tcBorders>
            <w:gridSpan w:val="2"/>
            <w:shd w:val="clear" w:color="auto" w:fill="CCEEFF"/>
          </w:tcPr>
          <w:p>
            <w:pPr>
              <w:ind w:left="380"/>
              <w:spacing w:after="0" w:line="101" w:lineRule="exact"/>
              <w:rPr>
                <w:sz w:val="20"/>
                <w:szCs w:val="20"/>
                <w:color w:val="auto"/>
              </w:rPr>
            </w:pPr>
            <w:r>
              <w:rPr>
                <w:rFonts w:ascii="Times New Roman" w:cs="Times New Roman" w:eastAsia="Times New Roman" w:hAnsi="Times New Roman"/>
                <w:sz w:val="10"/>
                <w:szCs w:val="10"/>
                <w:color w:val="auto"/>
              </w:rPr>
              <w:t>Total operating expense</w:t>
            </w:r>
          </w:p>
        </w:tc>
        <w:tc>
          <w:tcPr>
            <w:tcW w:w="200" w:type="dxa"/>
            <w:vAlign w:val="bottom"/>
            <w:tcBorders>
              <w:top w:val="single" w:sz="8" w:color="auto"/>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(44,605)</w:t>
            </w:r>
          </w:p>
        </w:tc>
        <w:tc>
          <w:tcPr>
            <w:tcW w:w="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(51,574)</w:t>
            </w:r>
          </w:p>
        </w:tc>
        <w:tc>
          <w:tcPr>
            <w:tcW w:w="1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jc w:val="right"/>
              <w:ind w:right="10"/>
              <w:spacing w:after="0" w:line="101" w:lineRule="exact"/>
              <w:rPr>
                <w:sz w:val="20"/>
                <w:szCs w:val="20"/>
                <w:color w:val="auto"/>
              </w:rPr>
            </w:pPr>
            <w:r>
              <w:rPr>
                <w:rFonts w:ascii="Times New Roman" w:cs="Times New Roman" w:eastAsia="Times New Roman" w:hAnsi="Times New Roman"/>
                <w:sz w:val="10"/>
                <w:szCs w:val="10"/>
                <w:color w:val="auto"/>
              </w:rPr>
              <w:t>14</w:t>
            </w:r>
          </w:p>
        </w:tc>
        <w:tc>
          <w:tcPr>
            <w:tcW w:w="240" w:type="dxa"/>
            <w:vAlign w:val="bottom"/>
            <w:tcBorders>
              <w:top w:val="single" w:sz="8" w:color="auto"/>
            </w:tcBorders>
            <w:shd w:val="clear" w:color="auto" w:fill="CCEEFF"/>
          </w:tcPr>
          <w:p>
            <w:pPr>
              <w:jc w:val="center"/>
              <w:ind w:right="30"/>
              <w:spacing w:after="0" w:line="101"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04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(131,861)</w:t>
            </w: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(139,745)</w:t>
            </w:r>
          </w:p>
        </w:tc>
        <w:tc>
          <w:tcPr>
            <w:tcW w:w="8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jc w:val="right"/>
              <w:ind w:right="30"/>
              <w:spacing w:after="0" w:line="101" w:lineRule="exact"/>
              <w:rPr>
                <w:sz w:val="20"/>
                <w:szCs w:val="20"/>
                <w:color w:val="auto"/>
              </w:rPr>
            </w:pPr>
            <w:r>
              <w:rPr>
                <w:rFonts w:ascii="Times New Roman" w:cs="Times New Roman" w:eastAsia="Times New Roman" w:hAnsi="Times New Roman"/>
                <w:sz w:val="10"/>
                <w:szCs w:val="10"/>
                <w:color w:val="auto"/>
              </w:rPr>
              <w:t>6</w:t>
            </w:r>
          </w:p>
        </w:tc>
        <w:tc>
          <w:tcPr>
            <w:tcW w:w="280" w:type="dxa"/>
            <w:vAlign w:val="bottom"/>
            <w:tcBorders>
              <w:top w:val="single" w:sz="8" w:color="auto"/>
            </w:tcBorders>
            <w:shd w:val="clear" w:color="auto" w:fill="CCEEFF"/>
          </w:tcPr>
          <w:p>
            <w:pPr>
              <w:jc w:val="center"/>
              <w:ind w:right="30"/>
              <w:spacing w:after="0" w:line="101"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12"/>
        </w:trPr>
        <w:tc>
          <w:tcPr>
            <w:tcW w:w="3660" w:type="dxa"/>
            <w:vAlign w:val="bottom"/>
            <w:gridSpan w:val="2"/>
          </w:tcPr>
          <w:p>
            <w:pPr>
              <w:ind w:left="300"/>
              <w:spacing w:after="0" w:line="112" w:lineRule="exact"/>
              <w:rPr>
                <w:sz w:val="20"/>
                <w:szCs w:val="20"/>
                <w:color w:val="auto"/>
              </w:rPr>
            </w:pPr>
            <w:r>
              <w:rPr>
                <w:rFonts w:ascii="Times New Roman" w:cs="Times New Roman" w:eastAsia="Times New Roman" w:hAnsi="Times New Roman"/>
                <w:sz w:val="10"/>
                <w:szCs w:val="10"/>
                <w:b w:val="1"/>
                <w:bCs w:val="1"/>
                <w:color w:val="auto"/>
              </w:rPr>
              <w:t>Depreciation and amortization</w:t>
            </w: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660" w:type="dxa"/>
            <w:vAlign w:val="bottom"/>
            <w:gridSpan w:val="2"/>
            <w:shd w:val="clear" w:color="auto" w:fill="CCEEFF"/>
          </w:tcPr>
          <w:p>
            <w:pPr>
              <w:ind w:left="380"/>
              <w:spacing w:after="0" w:line="112" w:lineRule="exact"/>
              <w:rPr>
                <w:sz w:val="20"/>
                <w:szCs w:val="20"/>
                <w:color w:val="auto"/>
              </w:rPr>
            </w:pPr>
            <w:r>
              <w:rPr>
                <w:rFonts w:ascii="Times New Roman" w:cs="Times New Roman" w:eastAsia="Times New Roman" w:hAnsi="Times New Roman"/>
                <w:sz w:val="10"/>
                <w:szCs w:val="10"/>
                <w:color w:val="auto"/>
              </w:rPr>
              <w:t>Cinema exhibition</w:t>
            </w: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(2,045)</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(2,608)</w:t>
            </w:r>
          </w:p>
        </w:tc>
        <w:tc>
          <w:tcPr>
            <w:tcW w:w="7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22</w:t>
            </w:r>
          </w:p>
        </w:tc>
        <w:tc>
          <w:tcPr>
            <w:tcW w:w="240" w:type="dxa"/>
            <w:vAlign w:val="bottom"/>
            <w:shd w:val="clear" w:color="auto" w:fill="CCEEFF"/>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(6,358)</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(7,753)</w:t>
            </w:r>
          </w:p>
        </w:tc>
        <w:tc>
          <w:tcPr>
            <w:tcW w:w="960" w:type="dxa"/>
            <w:vAlign w:val="bottom"/>
            <w:shd w:val="clear" w:color="auto" w:fill="CCEEFF"/>
          </w:tcPr>
          <w:p>
            <w:pPr>
              <w:jc w:val="right"/>
              <w:ind w:right="30"/>
              <w:spacing w:after="0" w:line="112" w:lineRule="exact"/>
              <w:rPr>
                <w:sz w:val="20"/>
                <w:szCs w:val="20"/>
                <w:color w:val="auto"/>
              </w:rPr>
            </w:pPr>
            <w:r>
              <w:rPr>
                <w:rFonts w:ascii="Times New Roman" w:cs="Times New Roman" w:eastAsia="Times New Roman" w:hAnsi="Times New Roman"/>
                <w:sz w:val="10"/>
                <w:szCs w:val="10"/>
                <w:color w:val="auto"/>
              </w:rPr>
              <w:t>18</w:t>
            </w:r>
          </w:p>
        </w:tc>
        <w:tc>
          <w:tcPr>
            <w:tcW w:w="280" w:type="dxa"/>
            <w:vAlign w:val="bottom"/>
            <w:shd w:val="clear" w:color="auto" w:fill="CCEEFF"/>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12"/>
        </w:trPr>
        <w:tc>
          <w:tcPr>
            <w:tcW w:w="3660" w:type="dxa"/>
            <w:vAlign w:val="bottom"/>
            <w:gridSpan w:val="2"/>
          </w:tcPr>
          <w:p>
            <w:pPr>
              <w:ind w:left="380"/>
              <w:spacing w:after="0" w:line="112" w:lineRule="exact"/>
              <w:rPr>
                <w:sz w:val="20"/>
                <w:szCs w:val="20"/>
                <w:color w:val="auto"/>
              </w:rPr>
            </w:pPr>
            <w:r>
              <w:rPr>
                <w:rFonts w:ascii="Times New Roman" w:cs="Times New Roman" w:eastAsia="Times New Roman" w:hAnsi="Times New Roman"/>
                <w:sz w:val="10"/>
                <w:szCs w:val="10"/>
                <w:color w:val="auto"/>
              </w:rPr>
              <w:t>Real estate</w:t>
            </w:r>
          </w:p>
        </w:tc>
        <w:tc>
          <w:tcPr>
            <w:tcW w:w="200" w:type="dxa"/>
            <w:vAlign w:val="bottom"/>
          </w:tcPr>
          <w:p>
            <w:pPr>
              <w:spacing w:after="0"/>
              <w:rPr>
                <w:sz w:val="9"/>
                <w:szCs w:val="9"/>
                <w:color w:val="auto"/>
              </w:rPr>
            </w:pPr>
          </w:p>
        </w:tc>
        <w:tc>
          <w:tcPr>
            <w:tcW w:w="116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(1,115)</w:t>
            </w:r>
          </w:p>
        </w:tc>
        <w:tc>
          <w:tcPr>
            <w:tcW w:w="300" w:type="dxa"/>
            <w:vAlign w:val="bottom"/>
          </w:tcPr>
          <w:p>
            <w:pPr>
              <w:spacing w:after="0"/>
              <w:rPr>
                <w:sz w:val="9"/>
                <w:szCs w:val="9"/>
                <w:color w:val="auto"/>
              </w:rPr>
            </w:pPr>
          </w:p>
        </w:tc>
        <w:tc>
          <w:tcPr>
            <w:tcW w:w="106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(1,210)</w:t>
            </w:r>
          </w:p>
        </w:tc>
        <w:tc>
          <w:tcPr>
            <w:tcW w:w="7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8</w:t>
            </w:r>
          </w:p>
        </w:tc>
        <w:tc>
          <w:tcPr>
            <w:tcW w:w="240" w:type="dxa"/>
            <w:vAlign w:val="bottom"/>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(3,341)</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(4,084)</w:t>
            </w:r>
          </w:p>
        </w:tc>
        <w:tc>
          <w:tcPr>
            <w:tcW w:w="960" w:type="dxa"/>
            <w:vAlign w:val="bottom"/>
          </w:tcPr>
          <w:p>
            <w:pPr>
              <w:jc w:val="right"/>
              <w:ind w:right="30"/>
              <w:spacing w:after="0" w:line="112" w:lineRule="exact"/>
              <w:rPr>
                <w:sz w:val="20"/>
                <w:szCs w:val="20"/>
                <w:color w:val="auto"/>
              </w:rPr>
            </w:pPr>
            <w:r>
              <w:rPr>
                <w:rFonts w:ascii="Times New Roman" w:cs="Times New Roman" w:eastAsia="Times New Roman" w:hAnsi="Times New Roman"/>
                <w:sz w:val="10"/>
                <w:szCs w:val="10"/>
                <w:color w:val="auto"/>
              </w:rPr>
              <w:t>18</w:t>
            </w:r>
          </w:p>
        </w:tc>
        <w:tc>
          <w:tcPr>
            <w:tcW w:w="280" w:type="dxa"/>
            <w:vAlign w:val="bottom"/>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01"/>
        </w:trPr>
        <w:tc>
          <w:tcPr>
            <w:tcW w:w="3660" w:type="dxa"/>
            <w:vAlign w:val="bottom"/>
            <w:tcBorders>
              <w:top w:val="single" w:sz="8" w:color="CCEEFF"/>
            </w:tcBorders>
            <w:gridSpan w:val="2"/>
            <w:shd w:val="clear" w:color="auto" w:fill="CCEEFF"/>
          </w:tcPr>
          <w:p>
            <w:pPr>
              <w:ind w:left="380"/>
              <w:spacing w:after="0" w:line="101" w:lineRule="exact"/>
              <w:rPr>
                <w:sz w:val="20"/>
                <w:szCs w:val="20"/>
                <w:color w:val="auto"/>
              </w:rPr>
            </w:pPr>
            <w:r>
              <w:rPr>
                <w:rFonts w:ascii="Times New Roman" w:cs="Times New Roman" w:eastAsia="Times New Roman" w:hAnsi="Times New Roman"/>
                <w:sz w:val="10"/>
                <w:szCs w:val="10"/>
                <w:color w:val="auto"/>
              </w:rPr>
              <w:t>Total depreciation and amortization</w:t>
            </w:r>
          </w:p>
        </w:tc>
        <w:tc>
          <w:tcPr>
            <w:tcW w:w="200" w:type="dxa"/>
            <w:vAlign w:val="bottom"/>
            <w:tcBorders>
              <w:top w:val="single" w:sz="8" w:color="auto"/>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(3,160)</w:t>
            </w:r>
          </w:p>
        </w:tc>
        <w:tc>
          <w:tcPr>
            <w:tcW w:w="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(3,818)</w:t>
            </w:r>
          </w:p>
        </w:tc>
        <w:tc>
          <w:tcPr>
            <w:tcW w:w="1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jc w:val="right"/>
              <w:ind w:right="10"/>
              <w:spacing w:after="0" w:line="101" w:lineRule="exact"/>
              <w:rPr>
                <w:sz w:val="20"/>
                <w:szCs w:val="20"/>
                <w:color w:val="auto"/>
              </w:rPr>
            </w:pPr>
            <w:r>
              <w:rPr>
                <w:rFonts w:ascii="Times New Roman" w:cs="Times New Roman" w:eastAsia="Times New Roman" w:hAnsi="Times New Roman"/>
                <w:sz w:val="10"/>
                <w:szCs w:val="10"/>
                <w:color w:val="auto"/>
              </w:rPr>
              <w:t>17</w:t>
            </w:r>
          </w:p>
        </w:tc>
        <w:tc>
          <w:tcPr>
            <w:tcW w:w="240" w:type="dxa"/>
            <w:vAlign w:val="bottom"/>
            <w:tcBorders>
              <w:top w:val="single" w:sz="8" w:color="auto"/>
            </w:tcBorders>
            <w:shd w:val="clear" w:color="auto" w:fill="CCEEFF"/>
          </w:tcPr>
          <w:p>
            <w:pPr>
              <w:jc w:val="center"/>
              <w:ind w:right="30"/>
              <w:spacing w:after="0" w:line="101"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04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(9,699)</w:t>
            </w: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(11,837)</w:t>
            </w:r>
          </w:p>
        </w:tc>
        <w:tc>
          <w:tcPr>
            <w:tcW w:w="8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jc w:val="right"/>
              <w:ind w:right="30"/>
              <w:spacing w:after="0" w:line="101" w:lineRule="exact"/>
              <w:rPr>
                <w:sz w:val="20"/>
                <w:szCs w:val="20"/>
                <w:color w:val="auto"/>
              </w:rPr>
            </w:pPr>
            <w:r>
              <w:rPr>
                <w:rFonts w:ascii="Times New Roman" w:cs="Times New Roman" w:eastAsia="Times New Roman" w:hAnsi="Times New Roman"/>
                <w:sz w:val="10"/>
                <w:szCs w:val="10"/>
                <w:color w:val="auto"/>
              </w:rPr>
              <w:t>18</w:t>
            </w:r>
          </w:p>
        </w:tc>
        <w:tc>
          <w:tcPr>
            <w:tcW w:w="280" w:type="dxa"/>
            <w:vAlign w:val="bottom"/>
            <w:tcBorders>
              <w:top w:val="single" w:sz="8" w:color="auto"/>
            </w:tcBorders>
            <w:shd w:val="clear" w:color="auto" w:fill="CCEEFF"/>
          </w:tcPr>
          <w:p>
            <w:pPr>
              <w:jc w:val="center"/>
              <w:ind w:right="30"/>
              <w:spacing w:after="0" w:line="101"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12"/>
        </w:trPr>
        <w:tc>
          <w:tcPr>
            <w:tcW w:w="3660" w:type="dxa"/>
            <w:vAlign w:val="bottom"/>
            <w:gridSpan w:val="2"/>
          </w:tcPr>
          <w:p>
            <w:pPr>
              <w:ind w:left="300"/>
              <w:spacing w:after="0" w:line="112" w:lineRule="exact"/>
              <w:rPr>
                <w:sz w:val="20"/>
                <w:szCs w:val="20"/>
                <w:color w:val="auto"/>
              </w:rPr>
            </w:pPr>
            <w:r>
              <w:rPr>
                <w:rFonts w:ascii="Times New Roman" w:cs="Times New Roman" w:eastAsia="Times New Roman" w:hAnsi="Times New Roman"/>
                <w:sz w:val="10"/>
                <w:szCs w:val="10"/>
                <w:b w:val="1"/>
                <w:bCs w:val="1"/>
                <w:color w:val="auto"/>
              </w:rPr>
              <w:t>General and administrative expense</w:t>
            </w: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660" w:type="dxa"/>
            <w:vAlign w:val="bottom"/>
            <w:gridSpan w:val="2"/>
            <w:shd w:val="clear" w:color="auto" w:fill="CCEEFF"/>
          </w:tcPr>
          <w:p>
            <w:pPr>
              <w:ind w:left="380"/>
              <w:spacing w:after="0" w:line="112" w:lineRule="exact"/>
              <w:rPr>
                <w:sz w:val="20"/>
                <w:szCs w:val="20"/>
                <w:color w:val="auto"/>
              </w:rPr>
            </w:pPr>
            <w:r>
              <w:rPr>
                <w:rFonts w:ascii="Times New Roman" w:cs="Times New Roman" w:eastAsia="Times New Roman" w:hAnsi="Times New Roman"/>
                <w:sz w:val="10"/>
                <w:szCs w:val="10"/>
                <w:color w:val="auto"/>
              </w:rPr>
              <w:t>Cinema exhibition</w:t>
            </w: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(1,060)</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(903)</w:t>
            </w:r>
          </w:p>
        </w:tc>
        <w:tc>
          <w:tcPr>
            <w:tcW w:w="7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(17)</w:t>
            </w:r>
          </w:p>
        </w:tc>
        <w:tc>
          <w:tcPr>
            <w:tcW w:w="240" w:type="dxa"/>
            <w:vAlign w:val="bottom"/>
            <w:shd w:val="clear" w:color="auto" w:fill="CCEEFF"/>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(3,358)</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(2,973)</w:t>
            </w:r>
          </w:p>
        </w:tc>
        <w:tc>
          <w:tcPr>
            <w:tcW w:w="960" w:type="dxa"/>
            <w:vAlign w:val="bottom"/>
            <w:shd w:val="clear" w:color="auto" w:fill="CCEEFF"/>
          </w:tcPr>
          <w:p>
            <w:pPr>
              <w:jc w:val="right"/>
              <w:ind w:right="30"/>
              <w:spacing w:after="0" w:line="112" w:lineRule="exact"/>
              <w:rPr>
                <w:sz w:val="20"/>
                <w:szCs w:val="20"/>
                <w:color w:val="auto"/>
              </w:rPr>
            </w:pPr>
            <w:r>
              <w:rPr>
                <w:rFonts w:ascii="Times New Roman" w:cs="Times New Roman" w:eastAsia="Times New Roman" w:hAnsi="Times New Roman"/>
                <w:sz w:val="10"/>
                <w:szCs w:val="10"/>
                <w:color w:val="auto"/>
              </w:rPr>
              <w:t>(13)</w:t>
            </w:r>
          </w:p>
        </w:tc>
        <w:tc>
          <w:tcPr>
            <w:tcW w:w="280" w:type="dxa"/>
            <w:vAlign w:val="bottom"/>
            <w:shd w:val="clear" w:color="auto" w:fill="CCEEFF"/>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12"/>
        </w:trPr>
        <w:tc>
          <w:tcPr>
            <w:tcW w:w="3660" w:type="dxa"/>
            <w:vAlign w:val="bottom"/>
            <w:gridSpan w:val="2"/>
          </w:tcPr>
          <w:p>
            <w:pPr>
              <w:ind w:left="380"/>
              <w:spacing w:after="0" w:line="112" w:lineRule="exact"/>
              <w:rPr>
                <w:sz w:val="20"/>
                <w:szCs w:val="20"/>
                <w:color w:val="auto"/>
              </w:rPr>
            </w:pPr>
            <w:r>
              <w:rPr>
                <w:rFonts w:ascii="Times New Roman" w:cs="Times New Roman" w:eastAsia="Times New Roman" w:hAnsi="Times New Roman"/>
                <w:sz w:val="10"/>
                <w:szCs w:val="10"/>
                <w:color w:val="auto"/>
              </w:rPr>
              <w:t>Real estate</w:t>
            </w:r>
          </w:p>
        </w:tc>
        <w:tc>
          <w:tcPr>
            <w:tcW w:w="200" w:type="dxa"/>
            <w:vAlign w:val="bottom"/>
          </w:tcPr>
          <w:p>
            <w:pPr>
              <w:spacing w:after="0"/>
              <w:rPr>
                <w:sz w:val="9"/>
                <w:szCs w:val="9"/>
                <w:color w:val="auto"/>
              </w:rPr>
            </w:pPr>
          </w:p>
        </w:tc>
        <w:tc>
          <w:tcPr>
            <w:tcW w:w="116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(202)</w:t>
            </w:r>
          </w:p>
        </w:tc>
        <w:tc>
          <w:tcPr>
            <w:tcW w:w="300" w:type="dxa"/>
            <w:vAlign w:val="bottom"/>
          </w:tcPr>
          <w:p>
            <w:pPr>
              <w:spacing w:after="0"/>
              <w:rPr>
                <w:sz w:val="9"/>
                <w:szCs w:val="9"/>
                <w:color w:val="auto"/>
              </w:rPr>
            </w:pPr>
          </w:p>
        </w:tc>
        <w:tc>
          <w:tcPr>
            <w:tcW w:w="106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(186)</w:t>
            </w:r>
          </w:p>
        </w:tc>
        <w:tc>
          <w:tcPr>
            <w:tcW w:w="7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(9)</w:t>
            </w:r>
          </w:p>
        </w:tc>
        <w:tc>
          <w:tcPr>
            <w:tcW w:w="240" w:type="dxa"/>
            <w:vAlign w:val="bottom"/>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(605)</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(725)</w:t>
            </w:r>
          </w:p>
        </w:tc>
        <w:tc>
          <w:tcPr>
            <w:tcW w:w="960" w:type="dxa"/>
            <w:vAlign w:val="bottom"/>
          </w:tcPr>
          <w:p>
            <w:pPr>
              <w:jc w:val="right"/>
              <w:ind w:right="30"/>
              <w:spacing w:after="0" w:line="112" w:lineRule="exact"/>
              <w:rPr>
                <w:sz w:val="20"/>
                <w:szCs w:val="20"/>
                <w:color w:val="auto"/>
              </w:rPr>
            </w:pPr>
            <w:r>
              <w:rPr>
                <w:rFonts w:ascii="Times New Roman" w:cs="Times New Roman" w:eastAsia="Times New Roman" w:hAnsi="Times New Roman"/>
                <w:sz w:val="10"/>
                <w:szCs w:val="10"/>
                <w:color w:val="auto"/>
              </w:rPr>
              <w:t>17</w:t>
            </w:r>
          </w:p>
        </w:tc>
        <w:tc>
          <w:tcPr>
            <w:tcW w:w="280" w:type="dxa"/>
            <w:vAlign w:val="bottom"/>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01"/>
        </w:trPr>
        <w:tc>
          <w:tcPr>
            <w:tcW w:w="3660" w:type="dxa"/>
            <w:vAlign w:val="bottom"/>
            <w:tcBorders>
              <w:top w:val="single" w:sz="8" w:color="CCEEFF"/>
            </w:tcBorders>
            <w:gridSpan w:val="2"/>
            <w:shd w:val="clear" w:color="auto" w:fill="CCEEFF"/>
          </w:tcPr>
          <w:p>
            <w:pPr>
              <w:ind w:left="380"/>
              <w:spacing w:after="0" w:line="101" w:lineRule="exact"/>
              <w:rPr>
                <w:sz w:val="20"/>
                <w:szCs w:val="20"/>
                <w:color w:val="auto"/>
              </w:rPr>
            </w:pPr>
            <w:r>
              <w:rPr>
                <w:rFonts w:ascii="Times New Roman" w:cs="Times New Roman" w:eastAsia="Times New Roman" w:hAnsi="Times New Roman"/>
                <w:sz w:val="10"/>
                <w:szCs w:val="10"/>
                <w:color w:val="auto"/>
              </w:rPr>
              <w:t>Total general and administrative expense</w:t>
            </w:r>
          </w:p>
        </w:tc>
        <w:tc>
          <w:tcPr>
            <w:tcW w:w="200" w:type="dxa"/>
            <w:vAlign w:val="bottom"/>
            <w:tcBorders>
              <w:top w:val="single" w:sz="8" w:color="auto"/>
              <w:bottom w:val="single" w:sz="8" w:color="auto"/>
            </w:tcBorders>
            <w:shd w:val="clear" w:color="auto" w:fill="CCEEFF"/>
          </w:tcPr>
          <w:p>
            <w:pPr>
              <w:spacing w:after="0"/>
              <w:rPr>
                <w:sz w:val="8"/>
                <w:szCs w:val="8"/>
                <w:color w:val="auto"/>
              </w:rPr>
            </w:pPr>
          </w:p>
        </w:tc>
        <w:tc>
          <w:tcPr>
            <w:tcW w:w="10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(1,262)</w:t>
            </w:r>
          </w:p>
        </w:tc>
        <w:tc>
          <w:tcPr>
            <w:tcW w:w="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bottom w:val="single" w:sz="8" w:color="auto"/>
            </w:tcBorders>
            <w:shd w:val="clear" w:color="auto" w:fill="CCEEFF"/>
          </w:tcPr>
          <w:p>
            <w:pPr>
              <w:spacing w:after="0"/>
              <w:rPr>
                <w:sz w:val="8"/>
                <w:szCs w:val="8"/>
                <w:color w:val="auto"/>
              </w:rPr>
            </w:pPr>
          </w:p>
        </w:tc>
        <w:tc>
          <w:tcPr>
            <w:tcW w:w="9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(1,089)</w:t>
            </w:r>
          </w:p>
        </w:tc>
        <w:tc>
          <w:tcPr>
            <w:tcW w:w="1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bottom w:val="single" w:sz="8" w:color="auto"/>
            </w:tcBorders>
            <w:shd w:val="clear" w:color="auto" w:fill="CCEEFF"/>
          </w:tcPr>
          <w:p>
            <w:pPr>
              <w:jc w:val="right"/>
              <w:ind w:right="10"/>
              <w:spacing w:after="0" w:line="101" w:lineRule="exact"/>
              <w:rPr>
                <w:sz w:val="20"/>
                <w:szCs w:val="20"/>
                <w:color w:val="auto"/>
              </w:rPr>
            </w:pPr>
            <w:r>
              <w:rPr>
                <w:rFonts w:ascii="Times New Roman" w:cs="Times New Roman" w:eastAsia="Times New Roman" w:hAnsi="Times New Roman"/>
                <w:sz w:val="10"/>
                <w:szCs w:val="10"/>
                <w:color w:val="auto"/>
              </w:rPr>
              <w:t>(16)</w:t>
            </w:r>
          </w:p>
        </w:tc>
        <w:tc>
          <w:tcPr>
            <w:tcW w:w="240" w:type="dxa"/>
            <w:vAlign w:val="bottom"/>
            <w:tcBorders>
              <w:top w:val="single" w:sz="8" w:color="auto"/>
              <w:bottom w:val="single" w:sz="8" w:color="auto"/>
            </w:tcBorders>
            <w:shd w:val="clear" w:color="auto" w:fill="CCEEFF"/>
          </w:tcPr>
          <w:p>
            <w:pPr>
              <w:jc w:val="center"/>
              <w:ind w:right="30"/>
              <w:spacing w:after="0" w:line="101"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spacing w:after="0"/>
              <w:rPr>
                <w:sz w:val="8"/>
                <w:szCs w:val="8"/>
                <w:color w:val="auto"/>
              </w:rPr>
            </w:pPr>
          </w:p>
        </w:tc>
        <w:tc>
          <w:tcPr>
            <w:tcW w:w="104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(3,963)</w:t>
            </w: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spacing w:after="0"/>
              <w:rPr>
                <w:sz w:val="8"/>
                <w:szCs w:val="8"/>
                <w:color w:val="auto"/>
              </w:rPr>
            </w:pPr>
          </w:p>
        </w:tc>
        <w:tc>
          <w:tcPr>
            <w:tcW w:w="10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(3,698)</w:t>
            </w:r>
          </w:p>
        </w:tc>
        <w:tc>
          <w:tcPr>
            <w:tcW w:w="8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auto"/>
              <w:bottom w:val="single" w:sz="8" w:color="auto"/>
            </w:tcBorders>
            <w:shd w:val="clear" w:color="auto" w:fill="CCEEFF"/>
          </w:tcPr>
          <w:p>
            <w:pPr>
              <w:jc w:val="right"/>
              <w:ind w:right="30"/>
              <w:spacing w:after="0" w:line="101" w:lineRule="exact"/>
              <w:rPr>
                <w:sz w:val="20"/>
                <w:szCs w:val="20"/>
                <w:color w:val="auto"/>
              </w:rPr>
            </w:pPr>
            <w:r>
              <w:rPr>
                <w:rFonts w:ascii="Times New Roman" w:cs="Times New Roman" w:eastAsia="Times New Roman" w:hAnsi="Times New Roman"/>
                <w:sz w:val="10"/>
                <w:szCs w:val="10"/>
                <w:color w:val="auto"/>
              </w:rPr>
              <w:t>(7)</w:t>
            </w:r>
          </w:p>
        </w:tc>
        <w:tc>
          <w:tcPr>
            <w:tcW w:w="280" w:type="dxa"/>
            <w:vAlign w:val="bottom"/>
            <w:tcBorders>
              <w:top w:val="single" w:sz="8" w:color="auto"/>
              <w:bottom w:val="single" w:sz="8" w:color="auto"/>
            </w:tcBorders>
            <w:shd w:val="clear" w:color="auto" w:fill="CCEEFF"/>
          </w:tcPr>
          <w:p>
            <w:pPr>
              <w:jc w:val="center"/>
              <w:ind w:right="30"/>
              <w:spacing w:after="0" w:line="101"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01"/>
        </w:trPr>
        <w:tc>
          <w:tcPr>
            <w:tcW w:w="3660" w:type="dxa"/>
            <w:vAlign w:val="bottom"/>
            <w:gridSpan w:val="2"/>
          </w:tcPr>
          <w:p>
            <w:pPr>
              <w:ind w:left="300"/>
              <w:spacing w:after="0" w:line="101" w:lineRule="exact"/>
              <w:rPr>
                <w:sz w:val="20"/>
                <w:szCs w:val="20"/>
                <w:color w:val="auto"/>
              </w:rPr>
            </w:pPr>
            <w:r>
              <w:rPr>
                <w:rFonts w:ascii="Times New Roman" w:cs="Times New Roman" w:eastAsia="Times New Roman" w:hAnsi="Times New Roman"/>
                <w:sz w:val="10"/>
                <w:szCs w:val="10"/>
                <w:b w:val="1"/>
                <w:bCs w:val="1"/>
                <w:color w:val="auto"/>
              </w:rPr>
              <w:t>Segment operating income</w:t>
            </w: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3660" w:type="dxa"/>
            <w:vAlign w:val="bottom"/>
            <w:gridSpan w:val="2"/>
            <w:shd w:val="clear" w:color="auto" w:fill="CCEEFF"/>
          </w:tcPr>
          <w:p>
            <w:pPr>
              <w:ind w:left="380"/>
              <w:spacing w:after="0" w:line="112" w:lineRule="exact"/>
              <w:rPr>
                <w:sz w:val="20"/>
                <w:szCs w:val="20"/>
                <w:color w:val="auto"/>
              </w:rPr>
            </w:pPr>
            <w:r>
              <w:rPr>
                <w:rFonts w:ascii="Times New Roman" w:cs="Times New Roman" w:eastAsia="Times New Roman" w:hAnsi="Times New Roman"/>
                <w:sz w:val="10"/>
                <w:szCs w:val="10"/>
                <w:color w:val="auto"/>
              </w:rPr>
              <w:t>Cinema exhibition</w:t>
            </w: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1,756</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2,213</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(21)</w:t>
            </w:r>
          </w:p>
        </w:tc>
        <w:tc>
          <w:tcPr>
            <w:tcW w:w="240" w:type="dxa"/>
            <w:vAlign w:val="bottom"/>
            <w:shd w:val="clear" w:color="auto" w:fill="CCEEFF"/>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2,732</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(6,563)</w:t>
            </w:r>
          </w:p>
        </w:tc>
        <w:tc>
          <w:tcPr>
            <w:tcW w:w="960" w:type="dxa"/>
            <w:vAlign w:val="bottom"/>
            <w:shd w:val="clear" w:color="auto" w:fill="CCEEFF"/>
          </w:tcPr>
          <w:p>
            <w:pPr>
              <w:jc w:val="right"/>
              <w:ind w:right="30"/>
              <w:spacing w:after="0" w:line="112" w:lineRule="exact"/>
              <w:rPr>
                <w:sz w:val="20"/>
                <w:szCs w:val="20"/>
                <w:color w:val="auto"/>
              </w:rPr>
            </w:pPr>
            <w:r>
              <w:rPr>
                <w:rFonts w:ascii="Times New Roman" w:cs="Times New Roman" w:eastAsia="Times New Roman" w:hAnsi="Times New Roman"/>
                <w:sz w:val="10"/>
                <w:szCs w:val="10"/>
                <w:color w:val="auto"/>
              </w:rPr>
              <w:t>&gt;100</w:t>
            </w:r>
          </w:p>
        </w:tc>
        <w:tc>
          <w:tcPr>
            <w:tcW w:w="280" w:type="dxa"/>
            <w:vAlign w:val="bottom"/>
            <w:shd w:val="clear" w:color="auto" w:fill="CCEEFF"/>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12"/>
        </w:trPr>
        <w:tc>
          <w:tcPr>
            <w:tcW w:w="3660" w:type="dxa"/>
            <w:vAlign w:val="bottom"/>
            <w:gridSpan w:val="2"/>
          </w:tcPr>
          <w:p>
            <w:pPr>
              <w:ind w:left="380"/>
              <w:spacing w:after="0" w:line="112" w:lineRule="exact"/>
              <w:rPr>
                <w:sz w:val="20"/>
                <w:szCs w:val="20"/>
                <w:color w:val="auto"/>
              </w:rPr>
            </w:pPr>
            <w:r>
              <w:rPr>
                <w:rFonts w:ascii="Times New Roman" w:cs="Times New Roman" w:eastAsia="Times New Roman" w:hAnsi="Times New Roman"/>
                <w:sz w:val="10"/>
                <w:szCs w:val="10"/>
                <w:color w:val="auto"/>
              </w:rPr>
              <w:t>Real estate</w:t>
            </w:r>
          </w:p>
        </w:tc>
        <w:tc>
          <w:tcPr>
            <w:tcW w:w="200" w:type="dxa"/>
            <w:vAlign w:val="bottom"/>
          </w:tcPr>
          <w:p>
            <w:pPr>
              <w:spacing w:after="0"/>
              <w:rPr>
                <w:sz w:val="9"/>
                <w:szCs w:val="9"/>
                <w:color w:val="auto"/>
              </w:rPr>
            </w:pPr>
          </w:p>
        </w:tc>
        <w:tc>
          <w:tcPr>
            <w:tcW w:w="10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1,387</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1,396</w:t>
            </w:r>
          </w:p>
        </w:tc>
        <w:tc>
          <w:tcPr>
            <w:tcW w:w="100" w:type="dxa"/>
            <w:vAlign w:val="bottom"/>
          </w:tcPr>
          <w:p>
            <w:pPr>
              <w:spacing w:after="0"/>
              <w:rPr>
                <w:sz w:val="9"/>
                <w:szCs w:val="9"/>
                <w:color w:val="auto"/>
              </w:rPr>
            </w:pPr>
          </w:p>
        </w:tc>
        <w:tc>
          <w:tcPr>
            <w:tcW w:w="7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w:t>
            </w:r>
          </w:p>
        </w:tc>
        <w:tc>
          <w:tcPr>
            <w:tcW w:w="240" w:type="dxa"/>
            <w:vAlign w:val="bottom"/>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4,461</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3,234</w:t>
            </w:r>
          </w:p>
        </w:tc>
        <w:tc>
          <w:tcPr>
            <w:tcW w:w="960" w:type="dxa"/>
            <w:vAlign w:val="bottom"/>
          </w:tcPr>
          <w:p>
            <w:pPr>
              <w:jc w:val="right"/>
              <w:ind w:right="30"/>
              <w:spacing w:after="0" w:line="112" w:lineRule="exact"/>
              <w:rPr>
                <w:sz w:val="20"/>
                <w:szCs w:val="20"/>
                <w:color w:val="auto"/>
              </w:rPr>
            </w:pPr>
            <w:r>
              <w:rPr>
                <w:rFonts w:ascii="Times New Roman" w:cs="Times New Roman" w:eastAsia="Times New Roman" w:hAnsi="Times New Roman"/>
                <w:sz w:val="10"/>
                <w:szCs w:val="10"/>
                <w:color w:val="auto"/>
              </w:rPr>
              <w:t>38</w:t>
            </w:r>
          </w:p>
        </w:tc>
        <w:tc>
          <w:tcPr>
            <w:tcW w:w="280" w:type="dxa"/>
            <w:vAlign w:val="bottom"/>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01"/>
        </w:trPr>
        <w:tc>
          <w:tcPr>
            <w:tcW w:w="3660" w:type="dxa"/>
            <w:vAlign w:val="bottom"/>
            <w:tcBorders>
              <w:top w:val="single" w:sz="8" w:color="CCEEFF"/>
            </w:tcBorders>
            <w:gridSpan w:val="2"/>
            <w:shd w:val="clear" w:color="auto" w:fill="CCEEFF"/>
          </w:tcPr>
          <w:p>
            <w:pPr>
              <w:ind w:left="300"/>
              <w:spacing w:after="0" w:line="101" w:lineRule="exact"/>
              <w:rPr>
                <w:sz w:val="20"/>
                <w:szCs w:val="20"/>
                <w:color w:val="auto"/>
              </w:rPr>
            </w:pPr>
            <w:r>
              <w:rPr>
                <w:rFonts w:ascii="Times New Roman" w:cs="Times New Roman" w:eastAsia="Times New Roman" w:hAnsi="Times New Roman"/>
                <w:sz w:val="10"/>
                <w:szCs w:val="10"/>
                <w:b w:val="1"/>
                <w:bCs w:val="1"/>
                <w:color w:val="auto"/>
              </w:rPr>
              <w:t>Total segment operating income (loss)</w:t>
            </w:r>
          </w:p>
        </w:tc>
        <w:tc>
          <w:tcPr>
            <w:tcW w:w="200" w:type="dxa"/>
            <w:vAlign w:val="bottom"/>
            <w:tcBorders>
              <w:top w:val="single" w:sz="8" w:color="auto"/>
              <w:bottom w:val="single" w:sz="8" w:color="auto"/>
            </w:tcBorders>
            <w:shd w:val="clear" w:color="auto" w:fill="CCEEFF"/>
          </w:tcPr>
          <w:p>
            <w:pPr>
              <w:jc w:val="right"/>
              <w:ind w:right="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3,143</w:t>
            </w:r>
          </w:p>
        </w:tc>
        <w:tc>
          <w:tcPr>
            <w:tcW w:w="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bottom w:val="single" w:sz="8" w:color="auto"/>
            </w:tcBorders>
            <w:shd w:val="clear" w:color="auto" w:fill="CCEEFF"/>
          </w:tcPr>
          <w:p>
            <w:pPr>
              <w:jc w:val="right"/>
              <w:ind w:right="1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3,609</w:t>
            </w:r>
          </w:p>
        </w:tc>
        <w:tc>
          <w:tcPr>
            <w:tcW w:w="1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bottom w:val="single" w:sz="8" w:color="auto"/>
            </w:tcBorders>
            <w:shd w:val="clear" w:color="auto" w:fill="CCEEFF"/>
          </w:tcPr>
          <w:p>
            <w:pPr>
              <w:jc w:val="right"/>
              <w:ind w:right="10"/>
              <w:spacing w:after="0" w:line="101" w:lineRule="exact"/>
              <w:rPr>
                <w:sz w:val="20"/>
                <w:szCs w:val="20"/>
                <w:color w:val="auto"/>
              </w:rPr>
            </w:pPr>
            <w:r>
              <w:rPr>
                <w:rFonts w:ascii="Times New Roman" w:cs="Times New Roman" w:eastAsia="Times New Roman" w:hAnsi="Times New Roman"/>
                <w:sz w:val="10"/>
                <w:szCs w:val="10"/>
                <w:color w:val="auto"/>
              </w:rPr>
              <w:t>(13)</w:t>
            </w:r>
          </w:p>
        </w:tc>
        <w:tc>
          <w:tcPr>
            <w:tcW w:w="240" w:type="dxa"/>
            <w:vAlign w:val="bottom"/>
            <w:tcBorders>
              <w:top w:val="single" w:sz="8" w:color="auto"/>
              <w:bottom w:val="single" w:sz="8" w:color="auto"/>
            </w:tcBorders>
            <w:shd w:val="clear" w:color="auto" w:fill="CCEEFF"/>
          </w:tcPr>
          <w:p>
            <w:pPr>
              <w:jc w:val="center"/>
              <w:ind w:right="30"/>
              <w:spacing w:after="0" w:line="101"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7,193</w:t>
            </w: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(3,329)</w:t>
            </w:r>
          </w:p>
        </w:tc>
        <w:tc>
          <w:tcPr>
            <w:tcW w:w="8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auto"/>
              <w:bottom w:val="single" w:sz="8" w:color="auto"/>
            </w:tcBorders>
            <w:shd w:val="clear" w:color="auto" w:fill="CCEEFF"/>
          </w:tcPr>
          <w:p>
            <w:pPr>
              <w:jc w:val="right"/>
              <w:ind w:right="30"/>
              <w:spacing w:after="0" w:line="101" w:lineRule="exact"/>
              <w:rPr>
                <w:sz w:val="20"/>
                <w:szCs w:val="20"/>
                <w:color w:val="auto"/>
              </w:rPr>
            </w:pPr>
            <w:r>
              <w:rPr>
                <w:rFonts w:ascii="Times New Roman" w:cs="Times New Roman" w:eastAsia="Times New Roman" w:hAnsi="Times New Roman"/>
                <w:sz w:val="10"/>
                <w:szCs w:val="10"/>
                <w:color w:val="auto"/>
              </w:rPr>
              <w:t>&gt;100</w:t>
            </w:r>
          </w:p>
        </w:tc>
        <w:tc>
          <w:tcPr>
            <w:tcW w:w="280" w:type="dxa"/>
            <w:vAlign w:val="bottom"/>
            <w:tcBorders>
              <w:top w:val="single" w:sz="8" w:color="auto"/>
              <w:bottom w:val="single" w:sz="8" w:color="auto"/>
            </w:tcBorders>
            <w:shd w:val="clear" w:color="auto" w:fill="CCEEFF"/>
          </w:tcPr>
          <w:p>
            <w:pPr>
              <w:jc w:val="center"/>
              <w:ind w:right="30"/>
              <w:spacing w:after="0" w:line="101"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01"/>
        </w:trPr>
        <w:tc>
          <w:tcPr>
            <w:tcW w:w="3660" w:type="dxa"/>
            <w:vAlign w:val="bottom"/>
            <w:gridSpan w:val="2"/>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NON-SEGMENT RESULTS</w:t>
            </w: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3660" w:type="dxa"/>
            <w:vAlign w:val="bottom"/>
            <w:gridSpan w:val="2"/>
            <w:shd w:val="clear" w:color="auto" w:fill="CCEEFF"/>
          </w:tcPr>
          <w:p>
            <w:pPr>
              <w:ind w:left="380"/>
              <w:spacing w:after="0" w:line="112" w:lineRule="exact"/>
              <w:rPr>
                <w:sz w:val="20"/>
                <w:szCs w:val="20"/>
                <w:color w:val="auto"/>
              </w:rPr>
            </w:pPr>
            <w:r>
              <w:rPr>
                <w:rFonts w:ascii="Times New Roman" w:cs="Times New Roman" w:eastAsia="Times New Roman" w:hAnsi="Times New Roman"/>
                <w:sz w:val="10"/>
                <w:szCs w:val="10"/>
                <w:color w:val="auto"/>
              </w:rPr>
              <w:t>Depreciation and amortization expense</w:t>
            </w:r>
          </w:p>
        </w:tc>
        <w:tc>
          <w:tcPr>
            <w:tcW w:w="200" w:type="dxa"/>
            <w:vAlign w:val="bottom"/>
            <w:shd w:val="clear" w:color="auto" w:fill="CCEEFF"/>
          </w:tcPr>
          <w:p>
            <w:pPr>
              <w:spacing w:after="0"/>
              <w:rPr>
                <w:sz w:val="9"/>
                <w:szCs w:val="9"/>
                <w:color w:val="auto"/>
              </w:rPr>
            </w:pPr>
          </w:p>
        </w:tc>
        <w:tc>
          <w:tcPr>
            <w:tcW w:w="116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(75)</w:t>
            </w:r>
          </w:p>
        </w:tc>
        <w:tc>
          <w:tcPr>
            <w:tcW w:w="3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(106)</w:t>
            </w:r>
          </w:p>
        </w:tc>
        <w:tc>
          <w:tcPr>
            <w:tcW w:w="7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29</w:t>
            </w:r>
          </w:p>
        </w:tc>
        <w:tc>
          <w:tcPr>
            <w:tcW w:w="240" w:type="dxa"/>
            <w:vAlign w:val="bottom"/>
            <w:shd w:val="clear" w:color="auto" w:fill="CCEEFF"/>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00" w:type="dxa"/>
            <w:vAlign w:val="bottom"/>
            <w:gridSpan w:val="2"/>
            <w:shd w:val="clear" w:color="auto" w:fill="CCEEFF"/>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(293)</w:t>
            </w: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(305)</w:t>
            </w:r>
          </w:p>
        </w:tc>
        <w:tc>
          <w:tcPr>
            <w:tcW w:w="960" w:type="dxa"/>
            <w:vAlign w:val="bottom"/>
            <w:shd w:val="clear" w:color="auto" w:fill="CCEEFF"/>
          </w:tcPr>
          <w:p>
            <w:pPr>
              <w:jc w:val="right"/>
              <w:ind w:right="30"/>
              <w:spacing w:after="0" w:line="112" w:lineRule="exact"/>
              <w:rPr>
                <w:sz w:val="20"/>
                <w:szCs w:val="20"/>
                <w:color w:val="auto"/>
              </w:rPr>
            </w:pPr>
            <w:r>
              <w:rPr>
                <w:rFonts w:ascii="Times New Roman" w:cs="Times New Roman" w:eastAsia="Times New Roman" w:hAnsi="Times New Roman"/>
                <w:sz w:val="10"/>
                <w:szCs w:val="10"/>
                <w:color w:val="auto"/>
              </w:rPr>
              <w:t>4</w:t>
            </w:r>
          </w:p>
        </w:tc>
        <w:tc>
          <w:tcPr>
            <w:tcW w:w="280" w:type="dxa"/>
            <w:vAlign w:val="bottom"/>
            <w:shd w:val="clear" w:color="auto" w:fill="CCEEFF"/>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12"/>
        </w:trPr>
        <w:tc>
          <w:tcPr>
            <w:tcW w:w="3660" w:type="dxa"/>
            <w:vAlign w:val="bottom"/>
            <w:gridSpan w:val="2"/>
          </w:tcPr>
          <w:p>
            <w:pPr>
              <w:ind w:left="380"/>
              <w:spacing w:after="0" w:line="112" w:lineRule="exact"/>
              <w:rPr>
                <w:sz w:val="20"/>
                <w:szCs w:val="20"/>
                <w:color w:val="auto"/>
              </w:rPr>
            </w:pPr>
            <w:r>
              <w:rPr>
                <w:rFonts w:ascii="Times New Roman" w:cs="Times New Roman" w:eastAsia="Times New Roman" w:hAnsi="Times New Roman"/>
                <w:sz w:val="10"/>
                <w:szCs w:val="10"/>
                <w:color w:val="auto"/>
              </w:rPr>
              <w:t>General and administrative expense</w:t>
            </w:r>
          </w:p>
        </w:tc>
        <w:tc>
          <w:tcPr>
            <w:tcW w:w="200" w:type="dxa"/>
            <w:vAlign w:val="bottom"/>
          </w:tcPr>
          <w:p>
            <w:pPr>
              <w:spacing w:after="0"/>
              <w:rPr>
                <w:sz w:val="9"/>
                <w:szCs w:val="9"/>
                <w:color w:val="auto"/>
              </w:rPr>
            </w:pPr>
          </w:p>
        </w:tc>
        <w:tc>
          <w:tcPr>
            <w:tcW w:w="10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(3,397)</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(3,846)</w:t>
            </w:r>
          </w:p>
        </w:tc>
        <w:tc>
          <w:tcPr>
            <w:tcW w:w="7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12</w:t>
            </w:r>
          </w:p>
        </w:tc>
        <w:tc>
          <w:tcPr>
            <w:tcW w:w="240" w:type="dxa"/>
            <w:vAlign w:val="bottom"/>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(11,231)</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(11,928)</w:t>
            </w:r>
          </w:p>
        </w:tc>
        <w:tc>
          <w:tcPr>
            <w:tcW w:w="960" w:type="dxa"/>
            <w:vAlign w:val="bottom"/>
          </w:tcPr>
          <w:p>
            <w:pPr>
              <w:jc w:val="right"/>
              <w:ind w:right="30"/>
              <w:spacing w:after="0" w:line="112" w:lineRule="exact"/>
              <w:rPr>
                <w:sz w:val="20"/>
                <w:szCs w:val="20"/>
                <w:color w:val="auto"/>
              </w:rPr>
            </w:pPr>
            <w:r>
              <w:rPr>
                <w:rFonts w:ascii="Times New Roman" w:cs="Times New Roman" w:eastAsia="Times New Roman" w:hAnsi="Times New Roman"/>
                <w:sz w:val="10"/>
                <w:szCs w:val="10"/>
                <w:color w:val="auto"/>
              </w:rPr>
              <w:t>6</w:t>
            </w:r>
          </w:p>
        </w:tc>
        <w:tc>
          <w:tcPr>
            <w:tcW w:w="280" w:type="dxa"/>
            <w:vAlign w:val="bottom"/>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12"/>
        </w:trPr>
        <w:tc>
          <w:tcPr>
            <w:tcW w:w="3660" w:type="dxa"/>
            <w:vAlign w:val="bottom"/>
            <w:gridSpan w:val="2"/>
            <w:shd w:val="clear" w:color="auto" w:fill="CCEEFF"/>
          </w:tcPr>
          <w:p>
            <w:pPr>
              <w:ind w:left="380"/>
              <w:spacing w:after="0" w:line="112" w:lineRule="exact"/>
              <w:rPr>
                <w:sz w:val="20"/>
                <w:szCs w:val="20"/>
                <w:color w:val="auto"/>
              </w:rPr>
            </w:pPr>
            <w:r>
              <w:rPr>
                <w:rFonts w:ascii="Times New Roman" w:cs="Times New Roman" w:eastAsia="Times New Roman" w:hAnsi="Times New Roman"/>
                <w:sz w:val="10"/>
                <w:szCs w:val="10"/>
                <w:color w:val="auto"/>
              </w:rPr>
              <w:t>Interest expense, net</w:t>
            </w: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(4,174)</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(5,245)</w:t>
            </w:r>
          </w:p>
        </w:tc>
        <w:tc>
          <w:tcPr>
            <w:tcW w:w="7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20</w:t>
            </w:r>
          </w:p>
        </w:tc>
        <w:tc>
          <w:tcPr>
            <w:tcW w:w="240" w:type="dxa"/>
            <w:vAlign w:val="bottom"/>
            <w:shd w:val="clear" w:color="auto" w:fill="CCEEFF"/>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(13,270)</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(15,907)</w:t>
            </w:r>
          </w:p>
        </w:tc>
        <w:tc>
          <w:tcPr>
            <w:tcW w:w="960" w:type="dxa"/>
            <w:vAlign w:val="bottom"/>
            <w:shd w:val="clear" w:color="auto" w:fill="CCEEFF"/>
          </w:tcPr>
          <w:p>
            <w:pPr>
              <w:jc w:val="right"/>
              <w:ind w:right="30"/>
              <w:spacing w:after="0" w:line="112" w:lineRule="exact"/>
              <w:rPr>
                <w:sz w:val="20"/>
                <w:szCs w:val="20"/>
                <w:color w:val="auto"/>
              </w:rPr>
            </w:pPr>
            <w:r>
              <w:rPr>
                <w:rFonts w:ascii="Times New Roman" w:cs="Times New Roman" w:eastAsia="Times New Roman" w:hAnsi="Times New Roman"/>
                <w:sz w:val="10"/>
                <w:szCs w:val="10"/>
                <w:color w:val="auto"/>
              </w:rPr>
              <w:t>17</w:t>
            </w:r>
          </w:p>
        </w:tc>
        <w:tc>
          <w:tcPr>
            <w:tcW w:w="280" w:type="dxa"/>
            <w:vAlign w:val="bottom"/>
            <w:shd w:val="clear" w:color="auto" w:fill="CCEEFF"/>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12"/>
        </w:trPr>
        <w:tc>
          <w:tcPr>
            <w:tcW w:w="3660" w:type="dxa"/>
            <w:vAlign w:val="bottom"/>
            <w:gridSpan w:val="2"/>
          </w:tcPr>
          <w:p>
            <w:pPr>
              <w:ind w:left="380"/>
              <w:spacing w:after="0" w:line="112" w:lineRule="exact"/>
              <w:rPr>
                <w:sz w:val="20"/>
                <w:szCs w:val="20"/>
                <w:color w:val="auto"/>
              </w:rPr>
            </w:pPr>
            <w:r>
              <w:rPr>
                <w:rFonts w:ascii="Times New Roman" w:cs="Times New Roman" w:eastAsia="Times New Roman" w:hAnsi="Times New Roman"/>
                <w:sz w:val="10"/>
                <w:szCs w:val="10"/>
                <w:color w:val="auto"/>
              </w:rPr>
              <w:t>Equity earnings of unconsolidated joint ventures</w:t>
            </w:r>
          </w:p>
        </w:tc>
        <w:tc>
          <w:tcPr>
            <w:tcW w:w="200" w:type="dxa"/>
            <w:vAlign w:val="bottom"/>
          </w:tcPr>
          <w:p>
            <w:pPr>
              <w:spacing w:after="0"/>
              <w:rPr>
                <w:sz w:val="9"/>
                <w:szCs w:val="9"/>
                <w:color w:val="auto"/>
              </w:rPr>
            </w:pPr>
          </w:p>
        </w:tc>
        <w:tc>
          <w:tcPr>
            <w:tcW w:w="116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121</w:t>
            </w:r>
          </w:p>
        </w:tc>
        <w:tc>
          <w:tcPr>
            <w:tcW w:w="300" w:type="dxa"/>
            <w:vAlign w:val="bottom"/>
          </w:tcPr>
          <w:p>
            <w:pPr>
              <w:spacing w:after="0"/>
              <w:rPr>
                <w:sz w:val="9"/>
                <w:szCs w:val="9"/>
                <w:color w:val="auto"/>
              </w:rPr>
            </w:pPr>
          </w:p>
        </w:tc>
        <w:tc>
          <w:tcPr>
            <w:tcW w:w="106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71</w:t>
            </w:r>
          </w:p>
        </w:tc>
        <w:tc>
          <w:tcPr>
            <w:tcW w:w="7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70</w:t>
            </w:r>
          </w:p>
        </w:tc>
        <w:tc>
          <w:tcPr>
            <w:tcW w:w="240" w:type="dxa"/>
            <w:vAlign w:val="bottom"/>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428</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164</w:t>
            </w:r>
          </w:p>
        </w:tc>
        <w:tc>
          <w:tcPr>
            <w:tcW w:w="960" w:type="dxa"/>
            <w:vAlign w:val="bottom"/>
          </w:tcPr>
          <w:p>
            <w:pPr>
              <w:jc w:val="right"/>
              <w:ind w:right="30"/>
              <w:spacing w:after="0" w:line="112" w:lineRule="exact"/>
              <w:rPr>
                <w:sz w:val="20"/>
                <w:szCs w:val="20"/>
                <w:color w:val="auto"/>
              </w:rPr>
            </w:pPr>
            <w:r>
              <w:rPr>
                <w:rFonts w:ascii="Times New Roman" w:cs="Times New Roman" w:eastAsia="Times New Roman" w:hAnsi="Times New Roman"/>
                <w:sz w:val="10"/>
                <w:szCs w:val="10"/>
                <w:color w:val="auto"/>
              </w:rPr>
              <w:t>&gt;100</w:t>
            </w:r>
          </w:p>
        </w:tc>
        <w:tc>
          <w:tcPr>
            <w:tcW w:w="280" w:type="dxa"/>
            <w:vAlign w:val="bottom"/>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12"/>
        </w:trPr>
        <w:tc>
          <w:tcPr>
            <w:tcW w:w="3660" w:type="dxa"/>
            <w:vAlign w:val="bottom"/>
            <w:gridSpan w:val="2"/>
            <w:shd w:val="clear" w:color="auto" w:fill="CCEEFF"/>
          </w:tcPr>
          <w:p>
            <w:pPr>
              <w:ind w:left="380"/>
              <w:spacing w:after="0" w:line="112" w:lineRule="exact"/>
              <w:rPr>
                <w:sz w:val="20"/>
                <w:szCs w:val="20"/>
                <w:color w:val="auto"/>
              </w:rPr>
            </w:pPr>
            <w:r>
              <w:rPr>
                <w:rFonts w:ascii="Times New Roman" w:cs="Times New Roman" w:eastAsia="Times New Roman" w:hAnsi="Times New Roman"/>
                <w:sz w:val="10"/>
                <w:szCs w:val="10"/>
                <w:color w:val="auto"/>
              </w:rPr>
              <w:t>Gain (loss) on sale of assets</w:t>
            </w:r>
          </w:p>
        </w:tc>
        <w:tc>
          <w:tcPr>
            <w:tcW w:w="200" w:type="dxa"/>
            <w:vAlign w:val="bottom"/>
            <w:shd w:val="clear" w:color="auto" w:fill="CCEEFF"/>
          </w:tcPr>
          <w:p>
            <w:pPr>
              <w:spacing w:after="0"/>
              <w:rPr>
                <w:sz w:val="9"/>
                <w:szCs w:val="9"/>
                <w:color w:val="auto"/>
              </w:rPr>
            </w:pPr>
          </w:p>
        </w:tc>
        <w:tc>
          <w:tcPr>
            <w:tcW w:w="116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(66)</w:t>
            </w:r>
          </w:p>
        </w:tc>
        <w:tc>
          <w:tcPr>
            <w:tcW w:w="3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(208)</w:t>
            </w:r>
          </w:p>
        </w:tc>
        <w:tc>
          <w:tcPr>
            <w:tcW w:w="720" w:type="dxa"/>
            <w:vAlign w:val="bottom"/>
            <w:shd w:val="clear" w:color="auto" w:fill="CCEEFF"/>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68</w:t>
            </w:r>
          </w:p>
        </w:tc>
        <w:tc>
          <w:tcPr>
            <w:tcW w:w="240" w:type="dxa"/>
            <w:vAlign w:val="bottom"/>
            <w:shd w:val="clear" w:color="auto" w:fill="CCEEFF"/>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8,332</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(1,324)</w:t>
            </w:r>
          </w:p>
        </w:tc>
        <w:tc>
          <w:tcPr>
            <w:tcW w:w="960" w:type="dxa"/>
            <w:vAlign w:val="bottom"/>
            <w:shd w:val="clear" w:color="auto" w:fill="CCEEFF"/>
          </w:tcPr>
          <w:p>
            <w:pPr>
              <w:jc w:val="right"/>
              <w:ind w:right="30"/>
              <w:spacing w:after="0" w:line="112" w:lineRule="exact"/>
              <w:rPr>
                <w:sz w:val="20"/>
                <w:szCs w:val="20"/>
                <w:color w:val="auto"/>
              </w:rPr>
            </w:pPr>
            <w:r>
              <w:rPr>
                <w:rFonts w:ascii="Times New Roman" w:cs="Times New Roman" w:eastAsia="Times New Roman" w:hAnsi="Times New Roman"/>
                <w:sz w:val="10"/>
                <w:szCs w:val="10"/>
                <w:color w:val="auto"/>
              </w:rPr>
              <w:t>&gt;100</w:t>
            </w:r>
          </w:p>
        </w:tc>
        <w:tc>
          <w:tcPr>
            <w:tcW w:w="280" w:type="dxa"/>
            <w:vAlign w:val="bottom"/>
            <w:shd w:val="clear" w:color="auto" w:fill="CCEEFF"/>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12"/>
        </w:trPr>
        <w:tc>
          <w:tcPr>
            <w:tcW w:w="3660" w:type="dxa"/>
            <w:vAlign w:val="bottom"/>
            <w:gridSpan w:val="2"/>
          </w:tcPr>
          <w:p>
            <w:pPr>
              <w:ind w:left="380"/>
              <w:spacing w:after="0" w:line="112" w:lineRule="exact"/>
              <w:rPr>
                <w:sz w:val="20"/>
                <w:szCs w:val="20"/>
                <w:color w:val="auto"/>
              </w:rPr>
            </w:pPr>
            <w:r>
              <w:rPr>
                <w:rFonts w:ascii="Times New Roman" w:cs="Times New Roman" w:eastAsia="Times New Roman" w:hAnsi="Times New Roman"/>
                <w:sz w:val="10"/>
                <w:szCs w:val="10"/>
                <w:color w:val="auto"/>
              </w:rPr>
              <w:t>Other income (expense)</w:t>
            </w:r>
          </w:p>
        </w:tc>
        <w:tc>
          <w:tcPr>
            <w:tcW w:w="200" w:type="dxa"/>
            <w:vAlign w:val="bottom"/>
          </w:tcPr>
          <w:p>
            <w:pPr>
              <w:spacing w:after="0"/>
              <w:rPr>
                <w:sz w:val="9"/>
                <w:szCs w:val="9"/>
                <w:color w:val="auto"/>
              </w:rPr>
            </w:pPr>
          </w:p>
        </w:tc>
        <w:tc>
          <w:tcPr>
            <w:tcW w:w="116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462</w:t>
            </w:r>
          </w:p>
        </w:tc>
        <w:tc>
          <w:tcPr>
            <w:tcW w:w="300" w:type="dxa"/>
            <w:vAlign w:val="bottom"/>
          </w:tcPr>
          <w:p>
            <w:pPr>
              <w:spacing w:after="0"/>
              <w:rPr>
                <w:sz w:val="9"/>
                <w:szCs w:val="9"/>
                <w:color w:val="auto"/>
              </w:rPr>
            </w:pPr>
          </w:p>
        </w:tc>
        <w:tc>
          <w:tcPr>
            <w:tcW w:w="106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(714)</w:t>
            </w:r>
          </w:p>
        </w:tc>
        <w:tc>
          <w:tcPr>
            <w:tcW w:w="7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&gt;100</w:t>
            </w:r>
          </w:p>
        </w:tc>
        <w:tc>
          <w:tcPr>
            <w:tcW w:w="240" w:type="dxa"/>
            <w:vAlign w:val="bottom"/>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(2,145)</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(593)</w:t>
            </w:r>
          </w:p>
        </w:tc>
        <w:tc>
          <w:tcPr>
            <w:tcW w:w="960" w:type="dxa"/>
            <w:vAlign w:val="bottom"/>
          </w:tcPr>
          <w:p>
            <w:pPr>
              <w:jc w:val="right"/>
              <w:ind w:right="30"/>
              <w:spacing w:after="0" w:line="112" w:lineRule="exact"/>
              <w:rPr>
                <w:sz w:val="20"/>
                <w:szCs w:val="20"/>
                <w:color w:val="auto"/>
              </w:rPr>
            </w:pPr>
            <w:r>
              <w:rPr>
                <w:rFonts w:ascii="Times New Roman" w:cs="Times New Roman" w:eastAsia="Times New Roman" w:hAnsi="Times New Roman"/>
                <w:sz w:val="10"/>
                <w:szCs w:val="10"/>
                <w:color w:val="auto"/>
              </w:rPr>
              <w:t>(&gt;100)</w:t>
            </w:r>
          </w:p>
        </w:tc>
        <w:tc>
          <w:tcPr>
            <w:tcW w:w="280" w:type="dxa"/>
            <w:vAlign w:val="bottom"/>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01"/>
        </w:trPr>
        <w:tc>
          <w:tcPr>
            <w:tcW w:w="3660" w:type="dxa"/>
            <w:vAlign w:val="bottom"/>
            <w:tcBorders>
              <w:top w:val="single" w:sz="8" w:color="CCEEFF"/>
            </w:tcBorders>
            <w:gridSpan w:val="2"/>
            <w:shd w:val="clear" w:color="auto" w:fill="CCEEFF"/>
          </w:tcPr>
          <w:p>
            <w:pPr>
              <w:ind w:left="300"/>
              <w:spacing w:after="0" w:line="101" w:lineRule="exact"/>
              <w:rPr>
                <w:sz w:val="20"/>
                <w:szCs w:val="20"/>
                <w:color w:val="auto"/>
              </w:rPr>
            </w:pPr>
            <w:r>
              <w:rPr>
                <w:rFonts w:ascii="Times New Roman" w:cs="Times New Roman" w:eastAsia="Times New Roman" w:hAnsi="Times New Roman"/>
                <w:sz w:val="10"/>
                <w:szCs w:val="10"/>
                <w:color w:val="auto"/>
              </w:rPr>
              <w:t>Income before income taxes</w:t>
            </w:r>
          </w:p>
        </w:tc>
        <w:tc>
          <w:tcPr>
            <w:tcW w:w="200" w:type="dxa"/>
            <w:vAlign w:val="bottom"/>
            <w:tcBorders>
              <w:top w:val="single" w:sz="8" w:color="auto"/>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(3,986)</w:t>
            </w:r>
          </w:p>
        </w:tc>
        <w:tc>
          <w:tcPr>
            <w:tcW w:w="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(6,439)</w:t>
            </w:r>
          </w:p>
        </w:tc>
        <w:tc>
          <w:tcPr>
            <w:tcW w:w="1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jc w:val="right"/>
              <w:ind w:right="10"/>
              <w:spacing w:after="0" w:line="101" w:lineRule="exact"/>
              <w:rPr>
                <w:sz w:val="20"/>
                <w:szCs w:val="20"/>
                <w:color w:val="auto"/>
              </w:rPr>
            </w:pPr>
            <w:r>
              <w:rPr>
                <w:rFonts w:ascii="Times New Roman" w:cs="Times New Roman" w:eastAsia="Times New Roman" w:hAnsi="Times New Roman"/>
                <w:sz w:val="10"/>
                <w:szCs w:val="10"/>
                <w:color w:val="auto"/>
              </w:rPr>
              <w:t>38</w:t>
            </w:r>
          </w:p>
        </w:tc>
        <w:tc>
          <w:tcPr>
            <w:tcW w:w="240" w:type="dxa"/>
            <w:vAlign w:val="bottom"/>
            <w:tcBorders>
              <w:top w:val="single" w:sz="8" w:color="auto"/>
            </w:tcBorders>
            <w:shd w:val="clear" w:color="auto" w:fill="CCEEFF"/>
          </w:tcPr>
          <w:p>
            <w:pPr>
              <w:jc w:val="center"/>
              <w:ind w:right="30"/>
              <w:spacing w:after="0" w:line="101"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04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(10,986)</w:t>
            </w: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(33,222)</w:t>
            </w:r>
          </w:p>
        </w:tc>
        <w:tc>
          <w:tcPr>
            <w:tcW w:w="8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jc w:val="right"/>
              <w:ind w:right="30"/>
              <w:spacing w:after="0" w:line="101" w:lineRule="exact"/>
              <w:rPr>
                <w:sz w:val="20"/>
                <w:szCs w:val="20"/>
                <w:color w:val="auto"/>
              </w:rPr>
            </w:pPr>
            <w:r>
              <w:rPr>
                <w:rFonts w:ascii="Times New Roman" w:cs="Times New Roman" w:eastAsia="Times New Roman" w:hAnsi="Times New Roman"/>
                <w:sz w:val="10"/>
                <w:szCs w:val="10"/>
                <w:color w:val="auto"/>
              </w:rPr>
              <w:t>67</w:t>
            </w:r>
          </w:p>
        </w:tc>
        <w:tc>
          <w:tcPr>
            <w:tcW w:w="280" w:type="dxa"/>
            <w:vAlign w:val="bottom"/>
            <w:tcBorders>
              <w:top w:val="single" w:sz="8" w:color="auto"/>
            </w:tcBorders>
            <w:shd w:val="clear" w:color="auto" w:fill="CCEEFF"/>
          </w:tcPr>
          <w:p>
            <w:pPr>
              <w:jc w:val="center"/>
              <w:ind w:right="30"/>
              <w:spacing w:after="0" w:line="101"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12"/>
        </w:trPr>
        <w:tc>
          <w:tcPr>
            <w:tcW w:w="3660" w:type="dxa"/>
            <w:vAlign w:val="bottom"/>
            <w:gridSpan w:val="2"/>
          </w:tcPr>
          <w:p>
            <w:pPr>
              <w:ind w:left="380"/>
              <w:spacing w:after="0" w:line="112" w:lineRule="exact"/>
              <w:rPr>
                <w:sz w:val="20"/>
                <w:szCs w:val="20"/>
                <w:color w:val="auto"/>
              </w:rPr>
            </w:pPr>
            <w:r>
              <w:rPr>
                <w:rFonts w:ascii="Times New Roman" w:cs="Times New Roman" w:eastAsia="Times New Roman" w:hAnsi="Times New Roman"/>
                <w:sz w:val="10"/>
                <w:szCs w:val="10"/>
                <w:color w:val="auto"/>
              </w:rPr>
              <w:t>Income tax benefit (expense)</w:t>
            </w:r>
          </w:p>
        </w:tc>
        <w:tc>
          <w:tcPr>
            <w:tcW w:w="200" w:type="dxa"/>
            <w:vAlign w:val="bottom"/>
          </w:tcPr>
          <w:p>
            <w:pPr>
              <w:spacing w:after="0"/>
              <w:rPr>
                <w:sz w:val="9"/>
                <w:szCs w:val="9"/>
                <w:color w:val="auto"/>
              </w:rPr>
            </w:pPr>
          </w:p>
        </w:tc>
        <w:tc>
          <w:tcPr>
            <w:tcW w:w="116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(319)</w:t>
            </w:r>
          </w:p>
        </w:tc>
        <w:tc>
          <w:tcPr>
            <w:tcW w:w="300" w:type="dxa"/>
            <w:vAlign w:val="bottom"/>
          </w:tcPr>
          <w:p>
            <w:pPr>
              <w:spacing w:after="0"/>
              <w:rPr>
                <w:sz w:val="9"/>
                <w:szCs w:val="9"/>
                <w:color w:val="auto"/>
              </w:rPr>
            </w:pPr>
          </w:p>
        </w:tc>
        <w:tc>
          <w:tcPr>
            <w:tcW w:w="106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(700)</w:t>
            </w:r>
          </w:p>
        </w:tc>
        <w:tc>
          <w:tcPr>
            <w:tcW w:w="7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54</w:t>
            </w:r>
          </w:p>
        </w:tc>
        <w:tc>
          <w:tcPr>
            <w:tcW w:w="240" w:type="dxa"/>
            <w:vAlign w:val="bottom"/>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(1,071)</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(321)</w:t>
            </w:r>
          </w:p>
        </w:tc>
        <w:tc>
          <w:tcPr>
            <w:tcW w:w="960" w:type="dxa"/>
            <w:vAlign w:val="bottom"/>
          </w:tcPr>
          <w:p>
            <w:pPr>
              <w:jc w:val="right"/>
              <w:ind w:right="30"/>
              <w:spacing w:after="0" w:line="112" w:lineRule="exact"/>
              <w:rPr>
                <w:sz w:val="20"/>
                <w:szCs w:val="20"/>
                <w:color w:val="auto"/>
              </w:rPr>
            </w:pPr>
            <w:r>
              <w:rPr>
                <w:rFonts w:ascii="Times New Roman" w:cs="Times New Roman" w:eastAsia="Times New Roman" w:hAnsi="Times New Roman"/>
                <w:sz w:val="10"/>
                <w:szCs w:val="10"/>
                <w:color w:val="auto"/>
              </w:rPr>
              <w:t>(&gt;100)</w:t>
            </w:r>
          </w:p>
        </w:tc>
        <w:tc>
          <w:tcPr>
            <w:tcW w:w="280" w:type="dxa"/>
            <w:vAlign w:val="bottom"/>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01"/>
        </w:trPr>
        <w:tc>
          <w:tcPr>
            <w:tcW w:w="3660" w:type="dxa"/>
            <w:vAlign w:val="bottom"/>
            <w:tcBorders>
              <w:top w:val="single" w:sz="8" w:color="CCEEFF"/>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Net income (loss)</w:t>
            </w:r>
          </w:p>
        </w:tc>
        <w:tc>
          <w:tcPr>
            <w:tcW w:w="200" w:type="dxa"/>
            <w:vAlign w:val="bottom"/>
            <w:tcBorders>
              <w:top w:val="single" w:sz="8" w:color="auto"/>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(4,305)</w:t>
            </w:r>
          </w:p>
        </w:tc>
        <w:tc>
          <w:tcPr>
            <w:tcW w:w="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(7,139)</w:t>
            </w:r>
          </w:p>
        </w:tc>
        <w:tc>
          <w:tcPr>
            <w:tcW w:w="1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jc w:val="right"/>
              <w:ind w:right="10"/>
              <w:spacing w:after="0" w:line="101" w:lineRule="exact"/>
              <w:rPr>
                <w:sz w:val="20"/>
                <w:szCs w:val="20"/>
                <w:color w:val="auto"/>
              </w:rPr>
            </w:pPr>
            <w:r>
              <w:rPr>
                <w:rFonts w:ascii="Times New Roman" w:cs="Times New Roman" w:eastAsia="Times New Roman" w:hAnsi="Times New Roman"/>
                <w:sz w:val="10"/>
                <w:szCs w:val="10"/>
                <w:color w:val="auto"/>
              </w:rPr>
              <w:t>40</w:t>
            </w:r>
          </w:p>
        </w:tc>
        <w:tc>
          <w:tcPr>
            <w:tcW w:w="240" w:type="dxa"/>
            <w:vAlign w:val="bottom"/>
            <w:tcBorders>
              <w:top w:val="single" w:sz="8" w:color="auto"/>
            </w:tcBorders>
            <w:shd w:val="clear" w:color="auto" w:fill="CCEEFF"/>
          </w:tcPr>
          <w:p>
            <w:pPr>
              <w:jc w:val="center"/>
              <w:ind w:right="10"/>
              <w:spacing w:after="0" w:line="101" w:lineRule="exact"/>
              <w:rPr>
                <w:sz w:val="20"/>
                <w:szCs w:val="20"/>
                <w:color w:val="auto"/>
              </w:rPr>
            </w:pPr>
            <w:r>
              <w:rPr>
                <w:rFonts w:ascii="Times New Roman" w:cs="Times New Roman" w:eastAsia="Times New Roman" w:hAnsi="Times New Roman"/>
                <w:sz w:val="10"/>
                <w:szCs w:val="10"/>
                <w:b w:val="1"/>
                <w:bCs w:val="1"/>
                <w:color w:val="auto"/>
                <w:w w:val="99"/>
              </w:rPr>
              <w:t>%</w:t>
            </w: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04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(12,057)</w:t>
            </w: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(33,543)</w:t>
            </w:r>
          </w:p>
        </w:tc>
        <w:tc>
          <w:tcPr>
            <w:tcW w:w="8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jc w:val="right"/>
              <w:ind w:right="30"/>
              <w:spacing w:after="0" w:line="101" w:lineRule="exact"/>
              <w:rPr>
                <w:sz w:val="20"/>
                <w:szCs w:val="20"/>
                <w:color w:val="auto"/>
              </w:rPr>
            </w:pPr>
            <w:r>
              <w:rPr>
                <w:rFonts w:ascii="Times New Roman" w:cs="Times New Roman" w:eastAsia="Times New Roman" w:hAnsi="Times New Roman"/>
                <w:sz w:val="10"/>
                <w:szCs w:val="10"/>
                <w:color w:val="auto"/>
              </w:rPr>
              <w:t>64</w:t>
            </w:r>
          </w:p>
        </w:tc>
        <w:tc>
          <w:tcPr>
            <w:tcW w:w="280" w:type="dxa"/>
            <w:vAlign w:val="bottom"/>
            <w:tcBorders>
              <w:top w:val="single" w:sz="8" w:color="auto"/>
            </w:tcBorders>
            <w:shd w:val="clear" w:color="auto" w:fill="CCEEFF"/>
          </w:tcPr>
          <w:p>
            <w:pPr>
              <w:jc w:val="center"/>
              <w:ind w:right="30"/>
              <w:spacing w:after="0" w:line="101"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12"/>
        </w:trPr>
        <w:tc>
          <w:tcPr>
            <w:tcW w:w="3660" w:type="dxa"/>
            <w:vAlign w:val="bottom"/>
            <w:gridSpan w:val="2"/>
          </w:tcPr>
          <w:p>
            <w:pPr>
              <w:ind w:left="300"/>
              <w:spacing w:after="0" w:line="112" w:lineRule="exact"/>
              <w:rPr>
                <w:sz w:val="20"/>
                <w:szCs w:val="20"/>
                <w:color w:val="auto"/>
              </w:rPr>
            </w:pPr>
            <w:r>
              <w:rPr>
                <w:rFonts w:ascii="Times New Roman" w:cs="Times New Roman" w:eastAsia="Times New Roman" w:hAnsi="Times New Roman"/>
                <w:sz w:val="10"/>
                <w:szCs w:val="10"/>
                <w:color w:val="auto"/>
              </w:rPr>
              <w:t>Less: net income (loss) attributable to noncontrolling interests</w:t>
            </w:r>
          </w:p>
        </w:tc>
        <w:tc>
          <w:tcPr>
            <w:tcW w:w="200" w:type="dxa"/>
            <w:vAlign w:val="bottom"/>
          </w:tcPr>
          <w:p>
            <w:pPr>
              <w:spacing w:after="0"/>
              <w:rPr>
                <w:sz w:val="9"/>
                <w:szCs w:val="9"/>
                <w:color w:val="auto"/>
              </w:rPr>
            </w:pPr>
          </w:p>
        </w:tc>
        <w:tc>
          <w:tcPr>
            <w:tcW w:w="116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(148)</w:t>
            </w:r>
          </w:p>
        </w:tc>
        <w:tc>
          <w:tcPr>
            <w:tcW w:w="300" w:type="dxa"/>
            <w:vAlign w:val="bottom"/>
          </w:tcPr>
          <w:p>
            <w:pPr>
              <w:spacing w:after="0"/>
              <w:rPr>
                <w:sz w:val="9"/>
                <w:szCs w:val="9"/>
                <w:color w:val="auto"/>
              </w:rPr>
            </w:pPr>
          </w:p>
        </w:tc>
        <w:tc>
          <w:tcPr>
            <w:tcW w:w="9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(111)</w:t>
            </w:r>
          </w:p>
        </w:tc>
        <w:tc>
          <w:tcPr>
            <w:tcW w:w="100" w:type="dxa"/>
            <w:vAlign w:val="bottom"/>
          </w:tcPr>
          <w:p>
            <w:pPr>
              <w:spacing w:after="0"/>
              <w:rPr>
                <w:sz w:val="9"/>
                <w:szCs w:val="9"/>
                <w:color w:val="auto"/>
              </w:rPr>
            </w:pPr>
          </w:p>
        </w:tc>
        <w:tc>
          <w:tcPr>
            <w:tcW w:w="720" w:type="dxa"/>
            <w:vAlign w:val="bottom"/>
          </w:tcPr>
          <w:p>
            <w:pPr>
              <w:jc w:val="right"/>
              <w:ind w:right="10"/>
              <w:spacing w:after="0" w:line="112" w:lineRule="exact"/>
              <w:rPr>
                <w:sz w:val="20"/>
                <w:szCs w:val="20"/>
                <w:color w:val="auto"/>
              </w:rPr>
            </w:pPr>
            <w:r>
              <w:rPr>
                <w:rFonts w:ascii="Times New Roman" w:cs="Times New Roman" w:eastAsia="Times New Roman" w:hAnsi="Times New Roman"/>
                <w:sz w:val="10"/>
                <w:szCs w:val="10"/>
                <w:color w:val="auto"/>
              </w:rPr>
              <w:t>(33)</w:t>
            </w:r>
          </w:p>
        </w:tc>
        <w:tc>
          <w:tcPr>
            <w:tcW w:w="240" w:type="dxa"/>
            <w:vAlign w:val="bottom"/>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(477)</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(481)</w:t>
            </w:r>
          </w:p>
        </w:tc>
        <w:tc>
          <w:tcPr>
            <w:tcW w:w="960" w:type="dxa"/>
            <w:vAlign w:val="bottom"/>
          </w:tcPr>
          <w:p>
            <w:pPr>
              <w:jc w:val="right"/>
              <w:ind w:right="30"/>
              <w:spacing w:after="0" w:line="112" w:lineRule="exact"/>
              <w:rPr>
                <w:sz w:val="20"/>
                <w:szCs w:val="20"/>
                <w:color w:val="auto"/>
              </w:rPr>
            </w:pPr>
            <w:r>
              <w:rPr>
                <w:rFonts w:ascii="Times New Roman" w:cs="Times New Roman" w:eastAsia="Times New Roman" w:hAnsi="Times New Roman"/>
                <w:sz w:val="10"/>
                <w:szCs w:val="10"/>
                <w:color w:val="auto"/>
              </w:rPr>
              <w:t>1</w:t>
            </w:r>
          </w:p>
        </w:tc>
        <w:tc>
          <w:tcPr>
            <w:tcW w:w="280" w:type="dxa"/>
            <w:vAlign w:val="bottom"/>
          </w:tcPr>
          <w:p>
            <w:pPr>
              <w:jc w:val="center"/>
              <w:ind w:right="30"/>
              <w:spacing w:after="0" w:line="112"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21"/>
        </w:trPr>
        <w:tc>
          <w:tcPr>
            <w:tcW w:w="3660" w:type="dxa"/>
            <w:vAlign w:val="bottom"/>
            <w:tcBorders>
              <w:top w:val="single" w:sz="8" w:color="CCEEFF"/>
              <w:bottom w:val="single" w:sz="8" w:color="CCEEFF"/>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Net income (loss) attributable to Reading International, Inc.</w:t>
            </w:r>
          </w:p>
        </w:tc>
        <w:tc>
          <w:tcPr>
            <w:tcW w:w="200" w:type="dxa"/>
            <w:vAlign w:val="bottom"/>
            <w:tcBorders>
              <w:top w:val="single" w:sz="8" w:color="auto"/>
              <w:bottom w:val="single" w:sz="8" w:color="auto"/>
            </w:tcBorders>
            <w:shd w:val="clear" w:color="auto" w:fill="CCEEFF"/>
          </w:tcPr>
          <w:p>
            <w:pPr>
              <w:jc w:val="right"/>
              <w:ind w:right="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(4,157)</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jc w:val="right"/>
              <w:ind w:right="19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(7,028)</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ind w:right="10"/>
              <w:spacing w:after="0" w:line="101" w:lineRule="exact"/>
              <w:rPr>
                <w:sz w:val="20"/>
                <w:szCs w:val="20"/>
                <w:color w:val="auto"/>
              </w:rPr>
            </w:pPr>
            <w:r>
              <w:rPr>
                <w:rFonts w:ascii="Times New Roman" w:cs="Times New Roman" w:eastAsia="Times New Roman" w:hAnsi="Times New Roman"/>
                <w:sz w:val="10"/>
                <w:szCs w:val="10"/>
                <w:b w:val="1"/>
                <w:bCs w:val="1"/>
                <w:color w:val="auto"/>
              </w:rPr>
              <w:t>41</w:t>
            </w:r>
          </w:p>
        </w:tc>
        <w:tc>
          <w:tcPr>
            <w:tcW w:w="240" w:type="dxa"/>
            <w:vAlign w:val="bottom"/>
            <w:tcBorders>
              <w:top w:val="single" w:sz="8" w:color="auto"/>
              <w:bottom w:val="single" w:sz="8" w:color="auto"/>
            </w:tcBorders>
            <w:shd w:val="clear" w:color="auto" w:fill="CCEEFF"/>
          </w:tcPr>
          <w:p>
            <w:pPr>
              <w:jc w:val="center"/>
              <w:ind w:right="10"/>
              <w:spacing w:after="0" w:line="101" w:lineRule="exact"/>
              <w:rPr>
                <w:sz w:val="20"/>
                <w:szCs w:val="20"/>
                <w:color w:val="auto"/>
              </w:rPr>
            </w:pPr>
            <w:r>
              <w:rPr>
                <w:rFonts w:ascii="Times New Roman" w:cs="Times New Roman" w:eastAsia="Times New Roman" w:hAnsi="Times New Roman"/>
                <w:sz w:val="10"/>
                <w:szCs w:val="10"/>
                <w:b w:val="1"/>
                <w:bCs w:val="1"/>
                <w:color w:val="auto"/>
                <w:w w:val="99"/>
              </w:rPr>
              <w:t>%</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(11,580)</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(33,062)</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960" w:type="dxa"/>
            <w:vAlign w:val="bottom"/>
            <w:tcBorders>
              <w:top w:val="single" w:sz="8" w:color="auto"/>
              <w:bottom w:val="single" w:sz="8" w:color="auto"/>
            </w:tcBorders>
            <w:shd w:val="clear" w:color="auto" w:fill="CCEEFF"/>
          </w:tcPr>
          <w:p>
            <w:pPr>
              <w:jc w:val="right"/>
              <w:ind w:right="30"/>
              <w:spacing w:after="0" w:line="101" w:lineRule="exact"/>
              <w:rPr>
                <w:sz w:val="20"/>
                <w:szCs w:val="20"/>
                <w:color w:val="auto"/>
              </w:rPr>
            </w:pPr>
            <w:r>
              <w:rPr>
                <w:rFonts w:ascii="Times New Roman" w:cs="Times New Roman" w:eastAsia="Times New Roman" w:hAnsi="Times New Roman"/>
                <w:sz w:val="10"/>
                <w:szCs w:val="10"/>
                <w:b w:val="1"/>
                <w:bCs w:val="1"/>
                <w:color w:val="auto"/>
              </w:rPr>
              <w:t>65</w:t>
            </w:r>
          </w:p>
        </w:tc>
        <w:tc>
          <w:tcPr>
            <w:tcW w:w="280" w:type="dxa"/>
            <w:vAlign w:val="bottom"/>
            <w:tcBorders>
              <w:top w:val="single" w:sz="8" w:color="auto"/>
              <w:bottom w:val="single" w:sz="8" w:color="auto"/>
            </w:tcBorders>
            <w:shd w:val="clear" w:color="auto" w:fill="CCEEFF"/>
          </w:tcPr>
          <w:p>
            <w:pPr>
              <w:jc w:val="center"/>
              <w:ind w:right="10"/>
              <w:spacing w:after="0" w:line="101" w:lineRule="exact"/>
              <w:rPr>
                <w:sz w:val="20"/>
                <w:szCs w:val="20"/>
                <w:color w:val="auto"/>
              </w:rPr>
            </w:pPr>
            <w:r>
              <w:rPr>
                <w:rFonts w:ascii="Times New Roman" w:cs="Times New Roman" w:eastAsia="Times New Roman" w:hAnsi="Times New Roman"/>
                <w:sz w:val="10"/>
                <w:szCs w:val="10"/>
                <w:b w:val="1"/>
                <w:bCs w:val="1"/>
                <w:color w:val="auto"/>
                <w:w w:val="99"/>
              </w:rPr>
              <w:t>%</w:t>
            </w:r>
          </w:p>
        </w:tc>
        <w:tc>
          <w:tcPr>
            <w:tcW w:w="0" w:type="dxa"/>
            <w:vAlign w:val="bottom"/>
          </w:tcPr>
          <w:p>
            <w:pPr>
              <w:spacing w:after="0"/>
              <w:rPr>
                <w:sz w:val="1"/>
                <w:szCs w:val="1"/>
                <w:color w:val="auto"/>
              </w:rPr>
            </w:pPr>
          </w:p>
        </w:tc>
      </w:tr>
      <w:tr>
        <w:trPr>
          <w:trHeight w:val="90"/>
        </w:trPr>
        <w:tc>
          <w:tcPr>
            <w:tcW w:w="3660" w:type="dxa"/>
            <w:vAlign w:val="bottom"/>
            <w:gridSpan w:val="2"/>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Basic earnings (loss) per share</w:t>
            </w:r>
          </w:p>
        </w:tc>
        <w:tc>
          <w:tcPr>
            <w:tcW w:w="200" w:type="dxa"/>
            <w:vAlign w:val="bottom"/>
            <w:tcBorders>
              <w:bottom w:val="single" w:sz="8" w:color="auto"/>
            </w:tcBorders>
          </w:tcPr>
          <w:p>
            <w:pPr>
              <w:jc w:val="right"/>
              <w:ind w:right="90"/>
              <w:spacing w:after="0" w:line="9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(0.18)</w:t>
            </w:r>
          </w:p>
        </w:tc>
        <w:tc>
          <w:tcPr>
            <w:tcW w:w="80" w:type="dxa"/>
            <w:vAlign w:val="bottom"/>
          </w:tcPr>
          <w:p>
            <w:pPr>
              <w:spacing w:after="0"/>
              <w:rPr>
                <w:sz w:val="7"/>
                <w:szCs w:val="7"/>
                <w:color w:val="auto"/>
              </w:rPr>
            </w:pPr>
          </w:p>
        </w:tc>
        <w:tc>
          <w:tcPr>
            <w:tcW w:w="300" w:type="dxa"/>
            <w:vAlign w:val="bottom"/>
            <w:tcBorders>
              <w:bottom w:val="single" w:sz="8" w:color="auto"/>
            </w:tcBorders>
          </w:tcPr>
          <w:p>
            <w:pPr>
              <w:jc w:val="right"/>
              <w:ind w:right="190"/>
              <w:spacing w:after="0" w:line="9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(0.31)</w:t>
            </w:r>
          </w:p>
        </w:tc>
        <w:tc>
          <w:tcPr>
            <w:tcW w:w="100" w:type="dxa"/>
            <w:vAlign w:val="bottom"/>
          </w:tcPr>
          <w:p>
            <w:pPr>
              <w:spacing w:after="0"/>
              <w:rPr>
                <w:sz w:val="7"/>
                <w:szCs w:val="7"/>
                <w:color w:val="auto"/>
              </w:rPr>
            </w:pPr>
          </w:p>
        </w:tc>
        <w:tc>
          <w:tcPr>
            <w:tcW w:w="720" w:type="dxa"/>
            <w:vAlign w:val="bottom"/>
            <w:tcBorders>
              <w:bottom w:val="single" w:sz="8" w:color="auto"/>
            </w:tcBorders>
          </w:tcPr>
          <w:p>
            <w:pPr>
              <w:jc w:val="right"/>
              <w:ind w:right="10"/>
              <w:spacing w:after="0" w:line="91" w:lineRule="exact"/>
              <w:rPr>
                <w:sz w:val="20"/>
                <w:szCs w:val="20"/>
                <w:color w:val="auto"/>
              </w:rPr>
            </w:pPr>
            <w:r>
              <w:rPr>
                <w:rFonts w:ascii="Times New Roman" w:cs="Times New Roman" w:eastAsia="Times New Roman" w:hAnsi="Times New Roman"/>
                <w:sz w:val="10"/>
                <w:szCs w:val="10"/>
                <w:b w:val="1"/>
                <w:bCs w:val="1"/>
                <w:color w:val="auto"/>
              </w:rPr>
              <w:t>42</w:t>
            </w:r>
          </w:p>
        </w:tc>
        <w:tc>
          <w:tcPr>
            <w:tcW w:w="240" w:type="dxa"/>
            <w:vAlign w:val="bottom"/>
            <w:tcBorders>
              <w:bottom w:val="single" w:sz="8" w:color="auto"/>
            </w:tcBorders>
          </w:tcPr>
          <w:p>
            <w:pPr>
              <w:jc w:val="center"/>
              <w:ind w:right="10"/>
              <w:spacing w:after="0" w:line="91" w:lineRule="exact"/>
              <w:rPr>
                <w:sz w:val="20"/>
                <w:szCs w:val="20"/>
                <w:color w:val="auto"/>
              </w:rPr>
            </w:pPr>
            <w:r>
              <w:rPr>
                <w:rFonts w:ascii="Times New Roman" w:cs="Times New Roman" w:eastAsia="Times New Roman" w:hAnsi="Times New Roman"/>
                <w:sz w:val="10"/>
                <w:szCs w:val="10"/>
                <w:b w:val="1"/>
                <w:bCs w:val="1"/>
                <w:color w:val="auto"/>
                <w:w w:val="99"/>
              </w:rPr>
              <w:t>%</w:t>
            </w:r>
          </w:p>
        </w:tc>
        <w:tc>
          <w:tcPr>
            <w:tcW w:w="80" w:type="dxa"/>
            <w:vAlign w:val="bottom"/>
          </w:tcPr>
          <w:p>
            <w:pPr>
              <w:spacing w:after="0"/>
              <w:rPr>
                <w:sz w:val="7"/>
                <w:szCs w:val="7"/>
                <w:color w:val="auto"/>
              </w:rPr>
            </w:pPr>
          </w:p>
        </w:tc>
        <w:tc>
          <w:tcPr>
            <w:tcW w:w="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(0.51)</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6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10"/>
                <w:szCs w:val="10"/>
                <w:b w:val="1"/>
                <w:bCs w:val="1"/>
                <w:color w:val="auto"/>
              </w:rPr>
              <w:t>(1.48)</w:t>
            </w:r>
          </w:p>
        </w:tc>
        <w:tc>
          <w:tcPr>
            <w:tcW w:w="80" w:type="dxa"/>
            <w:vAlign w:val="bottom"/>
          </w:tcPr>
          <w:p>
            <w:pPr>
              <w:spacing w:after="0"/>
              <w:rPr>
                <w:sz w:val="7"/>
                <w:szCs w:val="7"/>
                <w:color w:val="auto"/>
              </w:rPr>
            </w:pPr>
          </w:p>
        </w:tc>
        <w:tc>
          <w:tcPr>
            <w:tcW w:w="960" w:type="dxa"/>
            <w:vAlign w:val="bottom"/>
            <w:tcBorders>
              <w:bottom w:val="single" w:sz="8" w:color="auto"/>
            </w:tcBorders>
          </w:tcPr>
          <w:p>
            <w:pPr>
              <w:jc w:val="right"/>
              <w:ind w:right="30"/>
              <w:spacing w:after="0" w:line="91" w:lineRule="exact"/>
              <w:rPr>
                <w:sz w:val="20"/>
                <w:szCs w:val="20"/>
                <w:color w:val="auto"/>
              </w:rPr>
            </w:pPr>
            <w:r>
              <w:rPr>
                <w:rFonts w:ascii="Times New Roman" w:cs="Times New Roman" w:eastAsia="Times New Roman" w:hAnsi="Times New Roman"/>
                <w:sz w:val="10"/>
                <w:szCs w:val="10"/>
                <w:b w:val="1"/>
                <w:bCs w:val="1"/>
                <w:color w:val="auto"/>
              </w:rPr>
              <w:t>66</w:t>
            </w:r>
          </w:p>
        </w:tc>
        <w:tc>
          <w:tcPr>
            <w:tcW w:w="280" w:type="dxa"/>
            <w:vAlign w:val="bottom"/>
            <w:tcBorders>
              <w:bottom w:val="single" w:sz="8" w:color="auto"/>
            </w:tcBorders>
          </w:tcPr>
          <w:p>
            <w:pPr>
              <w:jc w:val="center"/>
              <w:ind w:right="10"/>
              <w:spacing w:after="0" w:line="91" w:lineRule="exact"/>
              <w:rPr>
                <w:sz w:val="20"/>
                <w:szCs w:val="20"/>
                <w:color w:val="auto"/>
              </w:rPr>
            </w:pPr>
            <w:r>
              <w:rPr>
                <w:rFonts w:ascii="Times New Roman" w:cs="Times New Roman" w:eastAsia="Times New Roman" w:hAnsi="Times New Roman"/>
                <w:sz w:val="10"/>
                <w:szCs w:val="10"/>
                <w:b w:val="1"/>
                <w:bCs w:val="1"/>
                <w:color w:val="auto"/>
                <w:w w:val="99"/>
              </w:rPr>
              <w:t>%</w:t>
            </w: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Consolidated and Non-Segment Results: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Third Quarter Net Results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Revenue</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Revenue for the quarter ended September 30, 2025, decreased by 13% (or $7.9 million), to $52.2 million, compared to the same period in the prior year, primarily due to decreased cinema revenues from lower attendance in all three countries as a result of weaker overall movie slate released from the Hollywood studios in the third quarter of 2025 compared to the same period 2024. These decreases in revenue were compounded by a decline in real estate rent revenues in AU/NZ due to the sale of Cannon Park and the weakening of the AU/NZ foreign exchange rates against the U.S. dollar, partially offset by improved Live Theatre rental and ancillary income.</w:t>
      </w:r>
    </w:p>
    <w:p>
      <w:pPr>
        <w:spacing w:after="0" w:line="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 xml:space="preserve">Revenue for the nine months ended September 30, 2025, increased by 1% (or $0.8 million), to $152.7 million, when compared to the same period in the prior year. This increase is attributable to improved box office from better movie slate as </w:t>
      </w:r>
      <w:r>
        <w:rPr>
          <w:rFonts w:ascii="Times New Roman" w:cs="Times New Roman" w:eastAsia="Times New Roman" w:hAnsi="Times New Roman"/>
          <w:sz w:val="12"/>
          <w:szCs w:val="12"/>
          <w:i w:val="1"/>
          <w:iCs w:val="1"/>
          <w:color w:val="auto"/>
        </w:rPr>
        <w:t>Lilo &amp; Stitch</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A Minecraft Movie</w:t>
      </w:r>
      <w:r>
        <w:rPr>
          <w:rFonts w:ascii="Times New Roman" w:cs="Times New Roman" w:eastAsia="Times New Roman" w:hAnsi="Times New Roman"/>
          <w:sz w:val="12"/>
          <w:szCs w:val="12"/>
          <w:color w:val="auto"/>
        </w:rPr>
        <w:t xml:space="preserve"> released during the second quarter of 2025, improved US Food &amp; Beverage revenue and better Live theatre rental and ancillary income, which was partially offset by a decrease in real estate rent revenue and a decrease in Food &amp; Beverage revenues in Australia and New Zealand.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144145</wp:posOffset>
            </wp:positionV>
            <wp:extent cx="720026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516" w:right="299" w:bottom="1440" w:gutter="0" w:footer="0" w:header="0"/>
        </w:sectPr>
      </w:pPr>
    </w:p>
    <w:bookmarkStart w:id="37" w:name="page38"/>
    <w:bookmarkEnd w:id="37"/>
    <w:p>
      <w:pPr>
        <w:ind w:left="5"/>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Segment Operating Income/(Loss)</w:t>
      </w:r>
    </w:p>
    <w:p>
      <w:pPr>
        <w:spacing w:after="0" w:line="134" w:lineRule="exact"/>
        <w:rPr>
          <w:sz w:val="20"/>
          <w:szCs w:val="20"/>
          <w:color w:val="auto"/>
        </w:rPr>
      </w:pPr>
    </w:p>
    <w:p>
      <w:pPr>
        <w:ind w:left="5" w:right="20"/>
        <w:spacing w:after="0" w:line="282" w:lineRule="auto"/>
        <w:rPr>
          <w:sz w:val="20"/>
          <w:szCs w:val="20"/>
          <w:color w:val="auto"/>
        </w:rPr>
      </w:pPr>
      <w:r>
        <w:rPr>
          <w:rFonts w:ascii="Times New Roman" w:cs="Times New Roman" w:eastAsia="Times New Roman" w:hAnsi="Times New Roman"/>
          <w:sz w:val="12"/>
          <w:szCs w:val="12"/>
          <w:color w:val="auto"/>
        </w:rPr>
        <w:t>Our total segment operating income for the quarter ended September 30, 2025, decreased by $0.5 million, from $3.6 million to $3.1 million, primarily due to weakened cinema performance, partially offset by lower depreciation and amortization.</w:t>
      </w:r>
    </w:p>
    <w:p>
      <w:pPr>
        <w:spacing w:after="0" w:line="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Our total segment operating income for the nine months ended September 30, 2025 of $7.2 million, increased by $10.5 million, from a loss of $3.3 million, primarily due (i) improved box office revenue worldwide and US Food</w:t>
      </w:r>
    </w:p>
    <w:p>
      <w:pPr>
        <w:spacing w:after="0" w:line="16" w:lineRule="exact"/>
        <w:rPr>
          <w:sz w:val="20"/>
          <w:szCs w:val="20"/>
          <w:color w:val="auto"/>
        </w:rPr>
      </w:pPr>
    </w:p>
    <w:p>
      <w:pPr>
        <w:ind w:left="5" w:hanging="5"/>
        <w:spacing w:after="0" w:line="241" w:lineRule="auto"/>
        <w:tabs>
          <w:tab w:leader="none" w:pos="135"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Beverage revenue due to stronger movie slate released during the second quarter of 2025 such as </w:t>
      </w:r>
      <w:r>
        <w:rPr>
          <w:rFonts w:ascii="Times New Roman" w:cs="Times New Roman" w:eastAsia="Times New Roman" w:hAnsi="Times New Roman"/>
          <w:sz w:val="12"/>
          <w:szCs w:val="12"/>
          <w:i w:val="1"/>
          <w:iCs w:val="1"/>
          <w:color w:val="auto"/>
        </w:rPr>
        <w:t>Lilo &amp; Stitch</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A Minecraft Movie</w:t>
      </w:r>
      <w:r>
        <w:rPr>
          <w:rFonts w:ascii="Times New Roman" w:cs="Times New Roman" w:eastAsia="Times New Roman" w:hAnsi="Times New Roman"/>
          <w:sz w:val="12"/>
          <w:szCs w:val="12"/>
          <w:color w:val="auto"/>
        </w:rPr>
        <w:t>, (ii) decreased operating expenses in both segments demonstrating our ongoing focus on operational excellence, and (iii) a reduction in depreciation and amortization. This was partially offset by weakened real estate revenue and increased general and administrative expenses.</w:t>
      </w:r>
    </w:p>
    <w:p>
      <w:pPr>
        <w:spacing w:after="0" w:line="109" w:lineRule="exact"/>
        <w:rPr>
          <w:sz w:val="20"/>
          <w:szCs w:val="20"/>
          <w:color w:val="auto"/>
        </w:rPr>
      </w:pPr>
    </w:p>
    <w:p>
      <w:pPr>
        <w:jc w:val="both"/>
        <w:ind w:left="5" w:right="20"/>
        <w:spacing w:after="0" w:line="254" w:lineRule="auto"/>
        <w:rPr>
          <w:sz w:val="20"/>
          <w:szCs w:val="20"/>
          <w:color w:val="auto"/>
        </w:rPr>
      </w:pPr>
      <w:r>
        <w:rPr>
          <w:rFonts w:ascii="Times New Roman" w:cs="Times New Roman" w:eastAsia="Times New Roman" w:hAnsi="Times New Roman"/>
          <w:sz w:val="12"/>
          <w:szCs w:val="12"/>
          <w:color w:val="auto"/>
        </w:rPr>
        <w:t>During the third quarter of 2025, both the Australia and New Zealand dollars devalued against the U.S. dollar. The average Australia dollar exchange rate against the U.S. dollar for the third quarter of 2025 decreased by 2.3% compared to the same period in 2024. The average New Zealand dollar exchange rate against the U.S. dollar for the third quarter of 2025 decreased by 3.1% compared to the same period in 2024. The devaluation of the Australia and New Zealand currencies negatively impacts segment operating income and positively impacts segment operating loss in U.S. dollar terms for the period.</w:t>
      </w:r>
    </w:p>
    <w:p>
      <w:pPr>
        <w:spacing w:after="0" w:line="9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Net Income/(Loss)</w:t>
      </w:r>
    </w:p>
    <w:p>
      <w:pPr>
        <w:spacing w:after="0" w:line="134" w:lineRule="exact"/>
        <w:rPr>
          <w:sz w:val="20"/>
          <w:szCs w:val="20"/>
          <w:color w:val="auto"/>
        </w:rPr>
      </w:pPr>
    </w:p>
    <w:p>
      <w:pPr>
        <w:jc w:val="both"/>
        <w:ind w:left="5"/>
        <w:spacing w:after="0" w:line="282" w:lineRule="auto"/>
        <w:rPr>
          <w:sz w:val="20"/>
          <w:szCs w:val="20"/>
          <w:color w:val="auto"/>
        </w:rPr>
      </w:pPr>
      <w:r>
        <w:rPr>
          <w:rFonts w:ascii="Times New Roman" w:cs="Times New Roman" w:eastAsia="Times New Roman" w:hAnsi="Times New Roman"/>
          <w:sz w:val="12"/>
          <w:szCs w:val="12"/>
          <w:color w:val="auto"/>
        </w:rPr>
        <w:t>Our net loss attributable to Reading International, Inc. for the quarter ended September 30, 2025, improved by 41%, from a loss of $7.0 million to a loss of $4.2 million, when compared to the same period in the prior year, primarily due to decreases in interest expense and depreciation and amortization expenses along with an increase in other income, offset by decreased segment income.</w:t>
      </w:r>
    </w:p>
    <w:p>
      <w:pPr>
        <w:spacing w:after="0" w:line="76" w:lineRule="exact"/>
        <w:rPr>
          <w:sz w:val="20"/>
          <w:szCs w:val="20"/>
          <w:color w:val="auto"/>
        </w:rPr>
      </w:pPr>
    </w:p>
    <w:p>
      <w:pPr>
        <w:jc w:val="both"/>
        <w:ind w:left="5" w:right="20"/>
        <w:spacing w:after="0" w:line="259" w:lineRule="auto"/>
        <w:rPr>
          <w:sz w:val="20"/>
          <w:szCs w:val="20"/>
          <w:color w:val="auto"/>
        </w:rPr>
      </w:pPr>
      <w:r>
        <w:rPr>
          <w:rFonts w:ascii="Times New Roman" w:cs="Times New Roman" w:eastAsia="Times New Roman" w:hAnsi="Times New Roman"/>
          <w:sz w:val="12"/>
          <w:szCs w:val="12"/>
          <w:color w:val="auto"/>
        </w:rPr>
        <w:t>For the nine months ended September 30, 2025, net loss attributable to Reading International, Inc. improved by 65%, from a loss of $33.1 million to a loss of $11.6 million, when compared to the same period in the prior year primarily due to improved segment results, decreased interest expense, and a gain on sale of assets compared to a loss on sale of our Culver City office in the same period prior year. This was partially offset by increased other expenses.</w:t>
      </w:r>
    </w:p>
    <w:p>
      <w:pPr>
        <w:spacing w:after="0" w:line="24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Income Tax Expense</w:t>
      </w:r>
    </w:p>
    <w:p>
      <w:pPr>
        <w:spacing w:after="0" w:line="134" w:lineRule="exact"/>
        <w:rPr>
          <w:sz w:val="20"/>
          <w:szCs w:val="20"/>
          <w:color w:val="auto"/>
        </w:rPr>
      </w:pPr>
    </w:p>
    <w:p>
      <w:pPr>
        <w:jc w:val="both"/>
        <w:ind w:left="5"/>
        <w:spacing w:after="0" w:line="245" w:lineRule="auto"/>
        <w:rPr>
          <w:sz w:val="20"/>
          <w:szCs w:val="20"/>
          <w:color w:val="auto"/>
        </w:rPr>
      </w:pPr>
      <w:r>
        <w:rPr>
          <w:rFonts w:ascii="Times New Roman" w:cs="Times New Roman" w:eastAsia="Times New Roman" w:hAnsi="Times New Roman"/>
          <w:sz w:val="12"/>
          <w:szCs w:val="12"/>
          <w:color w:val="auto"/>
        </w:rPr>
        <w:t>On July 4, 2025, the One Big Beautiful Bill Act (“OBBBA”) was enacted in the United States. The OBBBA includes significant tax law changes, including the permanent extension of certain provisions from the Tax Cuts and Jobs Act, modifications to the international tax framework, and the reinstatement of favorable business tax provisions. These include 100% bonus depreciation, immediate expensing of Section 174 domestic research and experimental expenditures, and revised limitations under Section 163(j) on the deductibility of business interest expense. The legislation has multiple effective dates, with certain provisions effective beginning in 2025, and others implemented through 2027. The OBBBA does not have a material effect on the Company's consolidated financial statements for the year ending December 31, 2025.</w:t>
      </w:r>
    </w:p>
    <w:p>
      <w:pPr>
        <w:spacing w:after="0" w:line="107" w:lineRule="exact"/>
        <w:rPr>
          <w:sz w:val="20"/>
          <w:szCs w:val="20"/>
          <w:color w:val="auto"/>
        </w:rPr>
      </w:pPr>
    </w:p>
    <w:p>
      <w:pPr>
        <w:jc w:val="both"/>
        <w:ind w:left="5" w:right="20"/>
        <w:spacing w:after="0" w:line="266" w:lineRule="auto"/>
        <w:rPr>
          <w:sz w:val="20"/>
          <w:szCs w:val="20"/>
          <w:color w:val="auto"/>
        </w:rPr>
      </w:pPr>
      <w:r>
        <w:rPr>
          <w:rFonts w:ascii="Times New Roman" w:cs="Times New Roman" w:eastAsia="Times New Roman" w:hAnsi="Times New Roman"/>
          <w:sz w:val="12"/>
          <w:szCs w:val="12"/>
          <w:color w:val="auto"/>
        </w:rPr>
        <w:t>Income tax expense for the three months ended September 30, 2025, decreased by $0.4 million compared to the equivalent prior-year period. The change between 2025 and 2024 is primarily related to a decrease in reserve for valuation allowance in 2025.</w:t>
      </w:r>
    </w:p>
    <w:p>
      <w:pPr>
        <w:spacing w:after="0" w:line="95" w:lineRule="exact"/>
        <w:rPr>
          <w:sz w:val="20"/>
          <w:szCs w:val="20"/>
          <w:color w:val="auto"/>
        </w:rPr>
      </w:pPr>
    </w:p>
    <w:p>
      <w:pPr>
        <w:jc w:val="both"/>
        <w:ind w:left="5" w:right="20"/>
        <w:spacing w:after="0" w:line="266" w:lineRule="auto"/>
        <w:rPr>
          <w:sz w:val="20"/>
          <w:szCs w:val="20"/>
          <w:color w:val="auto"/>
        </w:rPr>
      </w:pPr>
      <w:r>
        <w:rPr>
          <w:rFonts w:ascii="Times New Roman" w:cs="Times New Roman" w:eastAsia="Times New Roman" w:hAnsi="Times New Roman"/>
          <w:sz w:val="12"/>
          <w:szCs w:val="12"/>
          <w:color w:val="auto"/>
        </w:rPr>
        <w:t>Income tax expense for the nine months ended September 30, 2025, increased by $0.8 million compared to the equivalent prior-year period. The change between 2025 and 2024 is primarily related to a decrease in consolidated losses in 2025.</w:t>
      </w:r>
    </w:p>
    <w:p>
      <w:pPr>
        <w:spacing w:after="0" w:line="36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138430</wp:posOffset>
            </wp:positionV>
            <wp:extent cx="720026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5"/>
          </w:cols>
          <w:pgMar w:left="295" w:top="246"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b w:val="1"/>
          <w:bCs w:val="1"/>
          <w:color w:val="auto"/>
        </w:rPr>
        <w:t>Business Segment Results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Cinema Exhibition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details our cinema exhibition segment operating results for the quarter and nine months ended September 30, 2025, and September 30, 2024, respectively: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2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7"/>
                <w:szCs w:val="7"/>
                <w:b w:val="1"/>
                <w:bCs w:val="1"/>
                <w:color w:val="auto"/>
              </w:rPr>
              <w:t>Quarter Ended</w:t>
            </w: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top w:val="single" w:sz="8" w:color="B7DEE8"/>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7"/>
                <w:szCs w:val="7"/>
                <w:b w:val="1"/>
                <w:bCs w:val="1"/>
                <w:color w:val="auto"/>
              </w:rPr>
              <w:t>Nine Months Ended</w:t>
            </w: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Borders>
              <w:bottom w:val="single" w:sz="8" w:color="auto"/>
            </w:tcBorders>
            <w:gridSpan w:val="2"/>
          </w:tcPr>
          <w:p>
            <w:pPr>
              <w:jc w:val="right"/>
              <w:ind w:right="437"/>
              <w:spacing w:after="0"/>
              <w:rPr>
                <w:sz w:val="20"/>
                <w:szCs w:val="20"/>
                <w:color w:val="auto"/>
              </w:rPr>
            </w:pPr>
            <w:r>
              <w:rPr>
                <w:rFonts w:ascii="Times New Roman" w:cs="Times New Roman" w:eastAsia="Times New Roman" w:hAnsi="Times New Roman"/>
                <w:sz w:val="7"/>
                <w:szCs w:val="7"/>
                <w:b w:val="1"/>
                <w:bCs w:val="1"/>
                <w:color w:val="auto"/>
              </w:rPr>
              <w:t>Fav/(Unfav)</w:t>
            </w:r>
          </w:p>
        </w:tc>
        <w:tc>
          <w:tcPr>
            <w:tcW w:w="0" w:type="dxa"/>
            <w:vAlign w:val="bottom"/>
          </w:tcPr>
          <w:p>
            <w:pPr>
              <w:spacing w:after="0"/>
              <w:rPr>
                <w:sz w:val="1"/>
                <w:szCs w:val="1"/>
                <w:color w:val="auto"/>
              </w:rPr>
            </w:pPr>
          </w:p>
        </w:tc>
      </w:tr>
      <w:tr>
        <w:trPr>
          <w:trHeight w:val="63"/>
        </w:trPr>
        <w:tc>
          <w:tcPr>
            <w:tcW w:w="1200" w:type="dxa"/>
            <w:vAlign w:val="bottom"/>
            <w:vMerge w:val="restart"/>
          </w:tcPr>
          <w:p>
            <w:pPr>
              <w:spacing w:after="0"/>
              <w:rPr>
                <w:sz w:val="20"/>
                <w:szCs w:val="20"/>
                <w:color w:val="auto"/>
              </w:rPr>
            </w:pPr>
            <w:r>
              <w:rPr>
                <w:rFonts w:ascii="Times New Roman" w:cs="Times New Roman" w:eastAsia="Times New Roman" w:hAnsi="Times New Roman"/>
                <w:sz w:val="7"/>
                <w:szCs w:val="7"/>
                <w:i w:val="1"/>
                <w:iCs w:val="1"/>
                <w:color w:val="auto"/>
              </w:rPr>
              <w:t>(Dollars in thousands)</w:t>
            </w:r>
          </w:p>
        </w:tc>
        <w:tc>
          <w:tcPr>
            <w:tcW w:w="2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tcPr>
          <w:p>
            <w:pPr>
              <w:jc w:val="right"/>
              <w:ind w:right="200"/>
              <w:spacing w:after="0" w:line="6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7"/>
                <w:szCs w:val="7"/>
                <w:b w:val="1"/>
                <w:bCs w:val="1"/>
                <w:i w:val="1"/>
                <w:iCs w:val="1"/>
                <w:color w:val="auto"/>
              </w:rPr>
              <w:t>% of Revenue</w:t>
            </w:r>
          </w:p>
        </w:tc>
        <w:tc>
          <w:tcPr>
            <w:tcW w:w="100" w:type="dxa"/>
            <w:vAlign w:val="bottom"/>
          </w:tcPr>
          <w:p>
            <w:pPr>
              <w:spacing w:after="0"/>
              <w:rPr>
                <w:sz w:val="5"/>
                <w:szCs w:val="5"/>
                <w:color w:val="auto"/>
              </w:rPr>
            </w:pPr>
          </w:p>
        </w:tc>
        <w:tc>
          <w:tcPr>
            <w:tcW w:w="740" w:type="dxa"/>
            <w:vAlign w:val="bottom"/>
            <w:gridSpan w:val="2"/>
          </w:tcPr>
          <w:p>
            <w:pPr>
              <w:jc w:val="right"/>
              <w:ind w:right="200"/>
              <w:spacing w:after="0" w:line="6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7"/>
                <w:szCs w:val="7"/>
                <w:b w:val="1"/>
                <w:bCs w:val="1"/>
                <w:i w:val="1"/>
                <w:iCs w:val="1"/>
                <w:color w:val="auto"/>
              </w:rPr>
              <w:t>% of Revenue</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tcPr>
          <w:p>
            <w:pPr>
              <w:jc w:val="right"/>
              <w:ind w:right="220"/>
              <w:spacing w:after="0" w:line="6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7"/>
                <w:szCs w:val="7"/>
                <w:b w:val="1"/>
                <w:bCs w:val="1"/>
                <w:i w:val="1"/>
                <w:iCs w:val="1"/>
                <w:color w:val="auto"/>
              </w:rPr>
              <w:t>% of Revenue</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tcPr>
          <w:p>
            <w:pPr>
              <w:jc w:val="center"/>
              <w:ind w:right="140"/>
              <w:spacing w:after="0" w:line="6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7"/>
                <w:szCs w:val="7"/>
                <w:b w:val="1"/>
                <w:bCs w:val="1"/>
                <w:i w:val="1"/>
                <w:iCs w:val="1"/>
                <w:color w:val="auto"/>
              </w:rPr>
              <w:t>% of Revenue</w:t>
            </w:r>
          </w:p>
        </w:tc>
        <w:tc>
          <w:tcPr>
            <w:tcW w:w="760" w:type="dxa"/>
            <w:vAlign w:val="bottom"/>
          </w:tcPr>
          <w:p>
            <w:pPr>
              <w:jc w:val="right"/>
              <w:ind w:right="217"/>
              <w:spacing w:after="0" w:line="64" w:lineRule="exact"/>
              <w:rPr>
                <w:sz w:val="20"/>
                <w:szCs w:val="20"/>
                <w:color w:val="auto"/>
              </w:rPr>
            </w:pPr>
            <w:r>
              <w:rPr>
                <w:rFonts w:ascii="Times New Roman" w:cs="Times New Roman" w:eastAsia="Times New Roman" w:hAnsi="Times New Roman"/>
                <w:sz w:val="7"/>
                <w:szCs w:val="7"/>
                <w:b w:val="1"/>
                <w:bCs w:val="1"/>
                <w:color w:val="auto"/>
              </w:rPr>
              <w:t>Quarter</w:t>
            </w:r>
          </w:p>
        </w:tc>
        <w:tc>
          <w:tcPr>
            <w:tcW w:w="560" w:type="dxa"/>
            <w:vAlign w:val="bottom"/>
          </w:tcPr>
          <w:p>
            <w:pPr>
              <w:jc w:val="right"/>
              <w:ind w:right="37"/>
              <w:spacing w:after="0" w:line="64" w:lineRule="exact"/>
              <w:rPr>
                <w:sz w:val="20"/>
                <w:szCs w:val="20"/>
                <w:color w:val="auto"/>
              </w:rPr>
            </w:pPr>
            <w:r>
              <w:rPr>
                <w:rFonts w:ascii="Times New Roman" w:cs="Times New Roman" w:eastAsia="Times New Roman" w:hAnsi="Times New Roman"/>
                <w:sz w:val="7"/>
                <w:szCs w:val="7"/>
                <w:b w:val="1"/>
                <w:bCs w:val="1"/>
                <w:color w:val="auto"/>
              </w:rPr>
              <w:t>Nine Months</w:t>
            </w:r>
          </w:p>
        </w:tc>
        <w:tc>
          <w:tcPr>
            <w:tcW w:w="0" w:type="dxa"/>
            <w:vAlign w:val="bottom"/>
          </w:tcPr>
          <w:p>
            <w:pPr>
              <w:spacing w:after="0"/>
              <w:rPr>
                <w:sz w:val="1"/>
                <w:szCs w:val="1"/>
                <w:color w:val="auto"/>
              </w:rPr>
            </w:pPr>
          </w:p>
        </w:tc>
      </w:tr>
      <w:tr>
        <w:trPr>
          <w:trHeight w:val="95"/>
        </w:trPr>
        <w:tc>
          <w:tcPr>
            <w:tcW w:w="1200" w:type="dxa"/>
            <w:vAlign w:val="bottom"/>
            <w:vMerge w:val="continue"/>
          </w:tcPr>
          <w:p>
            <w:pPr>
              <w:spacing w:after="0"/>
              <w:rPr>
                <w:sz w:val="8"/>
                <w:szCs w:val="8"/>
                <w:color w:val="auto"/>
              </w:rPr>
            </w:pPr>
          </w:p>
        </w:tc>
        <w:tc>
          <w:tcPr>
            <w:tcW w:w="2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7"/>
                <w:szCs w:val="7"/>
                <w:b w:val="1"/>
                <w:bCs w:val="1"/>
                <w:color w:val="auto"/>
              </w:rPr>
              <w:t>2025‎</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7"/>
                <w:szCs w:val="7"/>
                <w:b w:val="1"/>
                <w:bCs w:val="1"/>
                <w:color w:val="auto"/>
              </w:rPr>
              <w:t>‎2024</w:t>
            </w:r>
          </w:p>
        </w:tc>
        <w:tc>
          <w:tcPr>
            <w:tcW w:w="5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right"/>
              <w:ind w:right="297"/>
              <w:spacing w:after="0"/>
              <w:rPr>
                <w:sz w:val="20"/>
                <w:szCs w:val="20"/>
                <w:color w:val="auto"/>
              </w:rPr>
            </w:pPr>
            <w:r>
              <w:rPr>
                <w:rFonts w:ascii="Times New Roman" w:cs="Times New Roman" w:eastAsia="Times New Roman" w:hAnsi="Times New Roman"/>
                <w:sz w:val="7"/>
                <w:szCs w:val="7"/>
                <w:b w:val="1"/>
                <w:bCs w:val="1"/>
                <w:color w:val="auto"/>
              </w:rPr>
              <w:t>2025</w:t>
            </w:r>
          </w:p>
        </w:tc>
        <w:tc>
          <w:tcPr>
            <w:tcW w:w="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7"/>
                <w:szCs w:val="7"/>
                <w:b w:val="1"/>
                <w:bCs w:val="1"/>
                <w:color w:val="auto"/>
                <w:w w:val="99"/>
              </w:rPr>
              <w:t>‎2024</w:t>
            </w:r>
          </w:p>
        </w:tc>
        <w:tc>
          <w:tcPr>
            <w:tcW w:w="620" w:type="dxa"/>
            <w:vAlign w:val="bottom"/>
            <w:gridSpan w:val="2"/>
            <w:vMerge w:val="continue"/>
          </w:tcPr>
          <w:p>
            <w:pPr>
              <w:spacing w:after="0"/>
              <w:rPr>
                <w:sz w:val="8"/>
                <w:szCs w:val="8"/>
                <w:color w:val="auto"/>
              </w:rPr>
            </w:pPr>
          </w:p>
        </w:tc>
        <w:tc>
          <w:tcPr>
            <w:tcW w:w="760" w:type="dxa"/>
            <w:vAlign w:val="bottom"/>
          </w:tcPr>
          <w:p>
            <w:pPr>
              <w:jc w:val="right"/>
              <w:ind w:right="237"/>
              <w:spacing w:after="0"/>
              <w:rPr>
                <w:sz w:val="20"/>
                <w:szCs w:val="20"/>
                <w:color w:val="auto"/>
              </w:rPr>
            </w:pPr>
            <w:r>
              <w:rPr>
                <w:rFonts w:ascii="Times New Roman" w:cs="Times New Roman" w:eastAsia="Times New Roman" w:hAnsi="Times New Roman"/>
                <w:sz w:val="7"/>
                <w:szCs w:val="7"/>
                <w:b w:val="1"/>
                <w:bCs w:val="1"/>
                <w:color w:val="auto"/>
              </w:rPr>
              <w:t>Ended‎</w:t>
            </w: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7"/>
                <w:szCs w:val="7"/>
                <w:b w:val="1"/>
                <w:bCs w:val="1"/>
                <w:color w:val="auto"/>
              </w:rPr>
              <w:t>Ended</w:t>
            </w:r>
          </w:p>
        </w:tc>
        <w:tc>
          <w:tcPr>
            <w:tcW w:w="0" w:type="dxa"/>
            <w:vAlign w:val="bottom"/>
          </w:tcPr>
          <w:p>
            <w:pPr>
              <w:spacing w:after="0"/>
              <w:rPr>
                <w:sz w:val="1"/>
                <w:szCs w:val="1"/>
                <w:color w:val="auto"/>
              </w:rPr>
            </w:pPr>
          </w:p>
        </w:tc>
      </w:tr>
      <w:tr>
        <w:trPr>
          <w:trHeight w:val="92"/>
        </w:trPr>
        <w:tc>
          <w:tcPr>
            <w:tcW w:w="1200" w:type="dxa"/>
            <w:vAlign w:val="bottom"/>
            <w:tcBorders>
              <w:top w:val="single" w:sz="8" w:color="auto"/>
            </w:tcBorders>
          </w:tcPr>
          <w:p>
            <w:pPr>
              <w:spacing w:after="0" w:line="92" w:lineRule="exact"/>
              <w:rPr>
                <w:sz w:val="20"/>
                <w:szCs w:val="20"/>
                <w:color w:val="auto"/>
              </w:rPr>
            </w:pPr>
            <w:r>
              <w:rPr>
                <w:rFonts w:ascii="Times New Roman" w:cs="Times New Roman" w:eastAsia="Times New Roman" w:hAnsi="Times New Roman"/>
                <w:sz w:val="9"/>
                <w:szCs w:val="9"/>
                <w:b w:val="1"/>
                <w:bCs w:val="1"/>
                <w:color w:val="auto"/>
              </w:rPr>
              <w:t>REVENUE</w:t>
            </w:r>
          </w:p>
        </w:tc>
        <w:tc>
          <w:tcPr>
            <w:tcW w:w="29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United States</w:t>
            </w:r>
          </w:p>
        </w:tc>
        <w:tc>
          <w:tcPr>
            <w:tcW w:w="298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Admissions revenue</w:t>
            </w:r>
          </w:p>
        </w:tc>
        <w:tc>
          <w:tcPr>
            <w:tcW w:w="180" w:type="dxa"/>
            <w:vAlign w:val="bottom"/>
            <w:gridSpan w:val="2"/>
            <w:shd w:val="clear" w:color="auto" w:fill="CCEEFF"/>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13,784</w:t>
            </w: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28%</w:t>
            </w:r>
          </w:p>
        </w:tc>
        <w:tc>
          <w:tcPr>
            <w:tcW w:w="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15,445</w:t>
            </w: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27%</w:t>
            </w:r>
          </w:p>
        </w:tc>
        <w:tc>
          <w:tcPr>
            <w:tcW w:w="180" w:type="dxa"/>
            <w:vAlign w:val="bottom"/>
            <w:gridSpan w:val="2"/>
            <w:shd w:val="clear" w:color="auto" w:fill="CCEEFF"/>
          </w:tcPr>
          <w:p>
            <w:pPr>
              <w:jc w:val="right"/>
              <w:ind w:right="53"/>
              <w:spacing w:after="0" w:line="94"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40,128</w:t>
            </w: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28%</w:t>
            </w:r>
          </w:p>
        </w:tc>
        <w:tc>
          <w:tcPr>
            <w:tcW w:w="120" w:type="dxa"/>
            <w:vAlign w:val="bottom"/>
            <w:gridSpan w:val="2"/>
            <w:shd w:val="clear" w:color="auto" w:fill="CCEEFF"/>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w w:val="87"/>
              </w:rPr>
              <w:t>$</w:t>
            </w:r>
          </w:p>
        </w:tc>
        <w:tc>
          <w:tcPr>
            <w:tcW w:w="76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39,368</w:t>
            </w:r>
          </w:p>
        </w:tc>
        <w:tc>
          <w:tcPr>
            <w:tcW w:w="54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28%</w:t>
            </w: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(11)%</w:t>
            </w:r>
          </w:p>
        </w:tc>
        <w:tc>
          <w:tcPr>
            <w:tcW w:w="56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93"/>
        </w:trPr>
        <w:tc>
          <w:tcPr>
            <w:tcW w:w="1200" w:type="dxa"/>
            <w:vAlign w:val="bottom"/>
          </w:tcPr>
          <w:p>
            <w:pPr>
              <w:spacing w:after="0"/>
              <w:rPr>
                <w:sz w:val="8"/>
                <w:szCs w:val="8"/>
                <w:color w:val="auto"/>
              </w:rPr>
            </w:pPr>
          </w:p>
        </w:tc>
        <w:tc>
          <w:tcPr>
            <w:tcW w:w="2980" w:type="dxa"/>
            <w:vAlign w:val="bottom"/>
          </w:tcPr>
          <w:p>
            <w:pPr>
              <w:ind w:left="100"/>
              <w:spacing w:after="0" w:line="94" w:lineRule="exact"/>
              <w:rPr>
                <w:sz w:val="20"/>
                <w:szCs w:val="20"/>
                <w:color w:val="auto"/>
              </w:rPr>
            </w:pPr>
            <w:r>
              <w:rPr>
                <w:rFonts w:ascii="Times New Roman" w:cs="Times New Roman" w:eastAsia="Times New Roman" w:hAnsi="Times New Roman"/>
                <w:sz w:val="9"/>
                <w:szCs w:val="9"/>
                <w:color w:val="auto"/>
              </w:rPr>
              <w:t>Food &amp; beverage revenue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9,276</w:t>
            </w: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19%</w:t>
            </w:r>
          </w:p>
        </w:tc>
        <w:tc>
          <w:tcPr>
            <w:tcW w:w="100" w:type="dxa"/>
            <w:vAlign w:val="bottom"/>
          </w:tcPr>
          <w:p>
            <w:pPr>
              <w:spacing w:after="0"/>
              <w:rPr>
                <w:sz w:val="8"/>
                <w:szCs w:val="8"/>
                <w:color w:val="auto"/>
              </w:rPr>
            </w:pPr>
          </w:p>
        </w:tc>
        <w:tc>
          <w:tcPr>
            <w:tcW w:w="74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9,824</w:t>
            </w: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17%</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26,659</w:t>
            </w:r>
          </w:p>
        </w:tc>
        <w:tc>
          <w:tcPr>
            <w:tcW w:w="40" w:type="dxa"/>
            <w:vAlign w:val="bottom"/>
          </w:tcPr>
          <w:p>
            <w:pPr>
              <w:spacing w:after="0"/>
              <w:rPr>
                <w:sz w:val="8"/>
                <w:szCs w:val="8"/>
                <w:color w:val="auto"/>
              </w:rPr>
            </w:pPr>
          </w:p>
        </w:tc>
        <w:tc>
          <w:tcPr>
            <w:tcW w:w="56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19%</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24,237</w:t>
            </w:r>
          </w:p>
        </w:tc>
        <w:tc>
          <w:tcPr>
            <w:tcW w:w="54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17%</w:t>
            </w:r>
          </w:p>
        </w:tc>
        <w:tc>
          <w:tcPr>
            <w:tcW w:w="80" w:type="dxa"/>
            <w:vAlign w:val="bottom"/>
          </w:tcPr>
          <w:p>
            <w:pPr>
              <w:spacing w:after="0"/>
              <w:rPr>
                <w:sz w:val="8"/>
                <w:szCs w:val="8"/>
                <w:color w:val="auto"/>
              </w:rPr>
            </w:pPr>
          </w:p>
        </w:tc>
        <w:tc>
          <w:tcPr>
            <w:tcW w:w="76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(6)%</w:t>
            </w:r>
          </w:p>
        </w:tc>
        <w:tc>
          <w:tcPr>
            <w:tcW w:w="560" w:type="dxa"/>
            <w:vAlign w:val="bottom"/>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10%</w:t>
            </w: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spacing w:after="0"/>
              <w:rPr>
                <w:sz w:val="8"/>
                <w:szCs w:val="8"/>
                <w:color w:val="auto"/>
              </w:rPr>
            </w:pPr>
          </w:p>
        </w:tc>
        <w:tc>
          <w:tcPr>
            <w:tcW w:w="298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Advertising and other revenue</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2,062</w:t>
            </w: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4%</w:t>
            </w: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2,547</w:t>
            </w: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5%</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40"/>
              <w:spacing w:after="0" w:line="94" w:lineRule="exact"/>
              <w:rPr>
                <w:sz w:val="20"/>
                <w:szCs w:val="20"/>
                <w:color w:val="auto"/>
              </w:rPr>
            </w:pPr>
            <w:r>
              <w:rPr>
                <w:rFonts w:ascii="Times New Roman" w:cs="Times New Roman" w:eastAsia="Times New Roman" w:hAnsi="Times New Roman"/>
                <w:sz w:val="9"/>
                <w:szCs w:val="9"/>
                <w:color w:val="auto"/>
              </w:rPr>
              <w:t>6,889</w:t>
            </w:r>
          </w:p>
        </w:tc>
        <w:tc>
          <w:tcPr>
            <w:tcW w:w="56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5%</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6,996</w:t>
            </w:r>
          </w:p>
        </w:tc>
        <w:tc>
          <w:tcPr>
            <w:tcW w:w="54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5%</w:t>
            </w: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(19)%</w:t>
            </w:r>
          </w:p>
        </w:tc>
        <w:tc>
          <w:tcPr>
            <w:tcW w:w="56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82"/>
        </w:trPr>
        <w:tc>
          <w:tcPr>
            <w:tcW w:w="1200" w:type="dxa"/>
            <w:vAlign w:val="bottom"/>
          </w:tcPr>
          <w:p>
            <w:pPr>
              <w:spacing w:after="0"/>
              <w:rPr>
                <w:sz w:val="7"/>
                <w:szCs w:val="7"/>
                <w:color w:val="auto"/>
              </w:rPr>
            </w:pPr>
          </w:p>
        </w:tc>
        <w:tc>
          <w:tcPr>
            <w:tcW w:w="2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25,122</w:t>
            </w:r>
          </w:p>
        </w:tc>
        <w:tc>
          <w:tcPr>
            <w:tcW w:w="20" w:type="dxa"/>
            <w:vAlign w:val="bottom"/>
          </w:tcPr>
          <w:p>
            <w:pPr>
              <w:spacing w:after="0"/>
              <w:rPr>
                <w:sz w:val="7"/>
                <w:szCs w:val="7"/>
                <w:color w:val="auto"/>
              </w:rPr>
            </w:pPr>
          </w:p>
        </w:tc>
        <w:tc>
          <w:tcPr>
            <w:tcW w:w="52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52%</w:t>
            </w:r>
          </w:p>
        </w:tc>
        <w:tc>
          <w:tcPr>
            <w:tcW w:w="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27,816</w:t>
            </w:r>
          </w:p>
        </w:tc>
        <w:tc>
          <w:tcPr>
            <w:tcW w:w="20" w:type="dxa"/>
            <w:vAlign w:val="bottom"/>
          </w:tcPr>
          <w:p>
            <w:pPr>
              <w:spacing w:after="0"/>
              <w:rPr>
                <w:sz w:val="7"/>
                <w:szCs w:val="7"/>
                <w:color w:val="auto"/>
              </w:rPr>
            </w:pPr>
          </w:p>
        </w:tc>
        <w:tc>
          <w:tcPr>
            <w:tcW w:w="52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49%</w:t>
            </w:r>
          </w:p>
        </w:tc>
        <w:tc>
          <w:tcPr>
            <w:tcW w:w="60" w:type="dxa"/>
            <w:vAlign w:val="bottom"/>
          </w:tcPr>
          <w:p>
            <w:pPr>
              <w:spacing w:after="0"/>
              <w:rPr>
                <w:sz w:val="7"/>
                <w:szCs w:val="7"/>
                <w:color w:val="auto"/>
              </w:rPr>
            </w:pPr>
          </w:p>
        </w:tc>
        <w:tc>
          <w:tcPr>
            <w:tcW w:w="1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73,676</w:t>
            </w:r>
          </w:p>
        </w:tc>
        <w:tc>
          <w:tcPr>
            <w:tcW w:w="40" w:type="dxa"/>
            <w:vAlign w:val="bottom"/>
          </w:tcPr>
          <w:p>
            <w:pPr>
              <w:spacing w:after="0"/>
              <w:rPr>
                <w:sz w:val="7"/>
                <w:szCs w:val="7"/>
                <w:color w:val="auto"/>
              </w:rPr>
            </w:pPr>
          </w:p>
        </w:tc>
        <w:tc>
          <w:tcPr>
            <w:tcW w:w="56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52%</w:t>
            </w:r>
          </w:p>
        </w:tc>
        <w:tc>
          <w:tcPr>
            <w:tcW w:w="20" w:type="dxa"/>
            <w:vAlign w:val="bottom"/>
          </w:tcPr>
          <w:p>
            <w:pPr>
              <w:spacing w:after="0"/>
              <w:rPr>
                <w:sz w:val="7"/>
                <w:szCs w:val="7"/>
                <w:color w:val="auto"/>
              </w:rPr>
            </w:pPr>
          </w:p>
        </w:tc>
        <w:tc>
          <w:tcPr>
            <w:tcW w:w="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70,601</w:t>
            </w:r>
          </w:p>
        </w:tc>
        <w:tc>
          <w:tcPr>
            <w:tcW w:w="20" w:type="dxa"/>
            <w:vAlign w:val="bottom"/>
          </w:tcPr>
          <w:p>
            <w:pPr>
              <w:spacing w:after="0"/>
              <w:rPr>
                <w:sz w:val="7"/>
                <w:szCs w:val="7"/>
                <w:color w:val="auto"/>
              </w:rPr>
            </w:pPr>
          </w:p>
        </w:tc>
        <w:tc>
          <w:tcPr>
            <w:tcW w:w="54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50%</w:t>
            </w:r>
          </w:p>
        </w:tc>
        <w:tc>
          <w:tcPr>
            <w:tcW w:w="80" w:type="dxa"/>
            <w:vAlign w:val="bottom"/>
          </w:tcPr>
          <w:p>
            <w:pPr>
              <w:spacing w:after="0"/>
              <w:rPr>
                <w:sz w:val="7"/>
                <w:szCs w:val="7"/>
                <w:color w:val="auto"/>
              </w:rPr>
            </w:pPr>
          </w:p>
        </w:tc>
        <w:tc>
          <w:tcPr>
            <w:tcW w:w="760" w:type="dxa"/>
            <w:vAlign w:val="bottom"/>
          </w:tcPr>
          <w:p>
            <w:pPr>
              <w:jc w:val="right"/>
              <w:ind w:right="37"/>
              <w:spacing w:after="0" w:line="83" w:lineRule="exact"/>
              <w:rPr>
                <w:sz w:val="20"/>
                <w:szCs w:val="20"/>
                <w:color w:val="auto"/>
              </w:rPr>
            </w:pPr>
            <w:r>
              <w:rPr>
                <w:rFonts w:ascii="Times New Roman" w:cs="Times New Roman" w:eastAsia="Times New Roman" w:hAnsi="Times New Roman"/>
                <w:sz w:val="9"/>
                <w:szCs w:val="9"/>
                <w:b w:val="1"/>
                <w:bCs w:val="1"/>
                <w:color w:val="auto"/>
              </w:rPr>
              <w:t>(10)%</w:t>
            </w:r>
          </w:p>
        </w:tc>
        <w:tc>
          <w:tcPr>
            <w:tcW w:w="560" w:type="dxa"/>
            <w:vAlign w:val="bottom"/>
          </w:tcPr>
          <w:p>
            <w:pPr>
              <w:jc w:val="right"/>
              <w:ind w:right="17"/>
              <w:spacing w:after="0" w:line="83" w:lineRule="exact"/>
              <w:rPr>
                <w:sz w:val="20"/>
                <w:szCs w:val="20"/>
                <w:color w:val="auto"/>
              </w:rPr>
            </w:pPr>
            <w:r>
              <w:rPr>
                <w:rFonts w:ascii="Times New Roman" w:cs="Times New Roman" w:eastAsia="Times New Roman" w:hAnsi="Times New Roman"/>
                <w:sz w:val="9"/>
                <w:szCs w:val="9"/>
                <w:b w:val="1"/>
                <w:bCs w:val="1"/>
                <w:color w:val="auto"/>
              </w:rPr>
              <w:t>4%</w:t>
            </w: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spacing w:after="0"/>
              <w:rPr>
                <w:sz w:val="8"/>
                <w:szCs w:val="8"/>
                <w:color w:val="auto"/>
              </w:rPr>
            </w:pPr>
          </w:p>
        </w:tc>
        <w:tc>
          <w:tcPr>
            <w:tcW w:w="2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b w:val="1"/>
                <w:bCs w:val="1"/>
                <w:color w:val="auto"/>
              </w:rPr>
              <w:t>—</w:t>
            </w: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b w:val="1"/>
                <w:bCs w:val="1"/>
                <w:color w:val="auto"/>
              </w:rPr>
              <w:t>—</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200" w:type="dxa"/>
            <w:vAlign w:val="bottom"/>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Australia</w:t>
            </w:r>
          </w:p>
        </w:tc>
        <w:tc>
          <w:tcPr>
            <w:tcW w:w="2980" w:type="dxa"/>
            <w:vAlign w:val="bottom"/>
          </w:tcPr>
          <w:p>
            <w:pPr>
              <w:ind w:left="100"/>
              <w:spacing w:after="0" w:line="94" w:lineRule="exact"/>
              <w:rPr>
                <w:sz w:val="20"/>
                <w:szCs w:val="20"/>
                <w:color w:val="auto"/>
              </w:rPr>
            </w:pPr>
            <w:r>
              <w:rPr>
                <w:rFonts w:ascii="Times New Roman" w:cs="Times New Roman" w:eastAsia="Times New Roman" w:hAnsi="Times New Roman"/>
                <w:sz w:val="9"/>
                <w:szCs w:val="9"/>
                <w:color w:val="auto"/>
              </w:rPr>
              <w:t>Admissions revenue</w:t>
            </w:r>
          </w:p>
        </w:tc>
        <w:tc>
          <w:tcPr>
            <w:tcW w:w="180" w:type="dxa"/>
            <w:vAlign w:val="bottom"/>
            <w:gridSpan w:val="2"/>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12,396</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26%</w:t>
            </w: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14,445</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26%</w:t>
            </w:r>
          </w:p>
        </w:tc>
        <w:tc>
          <w:tcPr>
            <w:tcW w:w="180" w:type="dxa"/>
            <w:vAlign w:val="bottom"/>
            <w:gridSpan w:val="2"/>
          </w:tcPr>
          <w:p>
            <w:pPr>
              <w:jc w:val="right"/>
              <w:ind w:right="53"/>
              <w:spacing w:after="0" w:line="94"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36,301</w:t>
            </w:r>
          </w:p>
        </w:tc>
        <w:tc>
          <w:tcPr>
            <w:tcW w:w="40" w:type="dxa"/>
            <w:vAlign w:val="bottom"/>
          </w:tcPr>
          <w:p>
            <w:pPr>
              <w:spacing w:after="0"/>
              <w:rPr>
                <w:sz w:val="8"/>
                <w:szCs w:val="8"/>
                <w:color w:val="auto"/>
              </w:rPr>
            </w:pPr>
          </w:p>
        </w:tc>
        <w:tc>
          <w:tcPr>
            <w:tcW w:w="56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26%</w:t>
            </w:r>
          </w:p>
        </w:tc>
        <w:tc>
          <w:tcPr>
            <w:tcW w:w="120" w:type="dxa"/>
            <w:vAlign w:val="bottom"/>
            <w:gridSpan w:val="2"/>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w w:val="87"/>
              </w:rPr>
              <w:t>$</w:t>
            </w:r>
          </w:p>
        </w:tc>
        <w:tc>
          <w:tcPr>
            <w:tcW w:w="76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35,559</w:t>
            </w:r>
          </w:p>
        </w:tc>
        <w:tc>
          <w:tcPr>
            <w:tcW w:w="54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25%</w:t>
            </w:r>
          </w:p>
        </w:tc>
        <w:tc>
          <w:tcPr>
            <w:tcW w:w="80" w:type="dxa"/>
            <w:vAlign w:val="bottom"/>
          </w:tcPr>
          <w:p>
            <w:pPr>
              <w:spacing w:after="0"/>
              <w:rPr>
                <w:sz w:val="8"/>
                <w:szCs w:val="8"/>
                <w:color w:val="auto"/>
              </w:rPr>
            </w:pPr>
          </w:p>
        </w:tc>
        <w:tc>
          <w:tcPr>
            <w:tcW w:w="76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(14)%</w:t>
            </w:r>
          </w:p>
        </w:tc>
        <w:tc>
          <w:tcPr>
            <w:tcW w:w="560" w:type="dxa"/>
            <w:vAlign w:val="bottom"/>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spacing w:after="0"/>
              <w:rPr>
                <w:sz w:val="8"/>
                <w:szCs w:val="8"/>
                <w:color w:val="auto"/>
              </w:rPr>
            </w:pPr>
          </w:p>
        </w:tc>
        <w:tc>
          <w:tcPr>
            <w:tcW w:w="298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Food &amp; beverage revenue</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6,459</w:t>
            </w: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13%</w:t>
            </w: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8,691</w:t>
            </w: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15%</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18,528</w:t>
            </w: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13%</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20,805</w:t>
            </w:r>
          </w:p>
        </w:tc>
        <w:tc>
          <w:tcPr>
            <w:tcW w:w="54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15%</w:t>
            </w: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(26)%</w:t>
            </w:r>
          </w:p>
        </w:tc>
        <w:tc>
          <w:tcPr>
            <w:tcW w:w="56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(11)%</w:t>
            </w:r>
          </w:p>
        </w:tc>
        <w:tc>
          <w:tcPr>
            <w:tcW w:w="0" w:type="dxa"/>
            <w:vAlign w:val="bottom"/>
          </w:tcPr>
          <w:p>
            <w:pPr>
              <w:spacing w:after="0"/>
              <w:rPr>
                <w:sz w:val="1"/>
                <w:szCs w:val="1"/>
                <w:color w:val="auto"/>
              </w:rPr>
            </w:pPr>
          </w:p>
        </w:tc>
      </w:tr>
      <w:tr>
        <w:trPr>
          <w:trHeight w:val="93"/>
        </w:trPr>
        <w:tc>
          <w:tcPr>
            <w:tcW w:w="1200" w:type="dxa"/>
            <w:vAlign w:val="bottom"/>
          </w:tcPr>
          <w:p>
            <w:pPr>
              <w:spacing w:after="0"/>
              <w:rPr>
                <w:sz w:val="8"/>
                <w:szCs w:val="8"/>
                <w:color w:val="auto"/>
              </w:rPr>
            </w:pPr>
          </w:p>
        </w:tc>
        <w:tc>
          <w:tcPr>
            <w:tcW w:w="2980" w:type="dxa"/>
            <w:vAlign w:val="bottom"/>
          </w:tcPr>
          <w:p>
            <w:pPr>
              <w:ind w:left="100"/>
              <w:spacing w:after="0" w:line="94" w:lineRule="exact"/>
              <w:rPr>
                <w:sz w:val="20"/>
                <w:szCs w:val="20"/>
                <w:color w:val="auto"/>
              </w:rPr>
            </w:pPr>
            <w:r>
              <w:rPr>
                <w:rFonts w:ascii="Times New Roman" w:cs="Times New Roman" w:eastAsia="Times New Roman" w:hAnsi="Times New Roman"/>
                <w:sz w:val="9"/>
                <w:szCs w:val="9"/>
                <w:color w:val="auto"/>
              </w:rPr>
              <w:t>Advertising and other revenue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1,657</w:t>
            </w: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3%</w:t>
            </w:r>
          </w:p>
        </w:tc>
        <w:tc>
          <w:tcPr>
            <w:tcW w:w="100" w:type="dxa"/>
            <w:vAlign w:val="bottom"/>
          </w:tcPr>
          <w:p>
            <w:pPr>
              <w:spacing w:after="0"/>
              <w:rPr>
                <w:sz w:val="8"/>
                <w:szCs w:val="8"/>
                <w:color w:val="auto"/>
              </w:rPr>
            </w:pPr>
          </w:p>
        </w:tc>
        <w:tc>
          <w:tcPr>
            <w:tcW w:w="74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1,609</w:t>
            </w: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3%</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tcPr>
          <w:p>
            <w:pPr>
              <w:jc w:val="right"/>
              <w:ind w:right="40"/>
              <w:spacing w:after="0" w:line="94" w:lineRule="exact"/>
              <w:rPr>
                <w:sz w:val="20"/>
                <w:szCs w:val="20"/>
                <w:color w:val="auto"/>
              </w:rPr>
            </w:pPr>
            <w:r>
              <w:rPr>
                <w:rFonts w:ascii="Times New Roman" w:cs="Times New Roman" w:eastAsia="Times New Roman" w:hAnsi="Times New Roman"/>
                <w:sz w:val="9"/>
                <w:szCs w:val="9"/>
                <w:color w:val="auto"/>
              </w:rPr>
              <w:t>4,274</w:t>
            </w:r>
          </w:p>
        </w:tc>
        <w:tc>
          <w:tcPr>
            <w:tcW w:w="56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3%</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4,248</w:t>
            </w:r>
          </w:p>
        </w:tc>
        <w:tc>
          <w:tcPr>
            <w:tcW w:w="54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3%</w:t>
            </w:r>
          </w:p>
        </w:tc>
        <w:tc>
          <w:tcPr>
            <w:tcW w:w="80" w:type="dxa"/>
            <w:vAlign w:val="bottom"/>
          </w:tcPr>
          <w:p>
            <w:pPr>
              <w:spacing w:after="0"/>
              <w:rPr>
                <w:sz w:val="8"/>
                <w:szCs w:val="8"/>
                <w:color w:val="auto"/>
              </w:rPr>
            </w:pPr>
          </w:p>
        </w:tc>
        <w:tc>
          <w:tcPr>
            <w:tcW w:w="76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3%</w:t>
            </w:r>
          </w:p>
        </w:tc>
        <w:tc>
          <w:tcPr>
            <w:tcW w:w="560" w:type="dxa"/>
            <w:vAlign w:val="bottom"/>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82"/>
        </w:trPr>
        <w:tc>
          <w:tcPr>
            <w:tcW w:w="1200" w:type="dxa"/>
            <w:vAlign w:val="bottom"/>
            <w:tcBorders>
              <w:top w:val="single" w:sz="8" w:color="CCEEFF"/>
            </w:tcBorders>
            <w:shd w:val="clear" w:color="auto" w:fill="CCEEFF"/>
          </w:tcPr>
          <w:p>
            <w:pPr>
              <w:spacing w:after="0"/>
              <w:rPr>
                <w:sz w:val="7"/>
                <w:szCs w:val="7"/>
                <w:color w:val="auto"/>
              </w:rPr>
            </w:pPr>
          </w:p>
        </w:tc>
        <w:tc>
          <w:tcPr>
            <w:tcW w:w="29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20,512</w:t>
            </w:r>
          </w:p>
        </w:tc>
        <w:tc>
          <w:tcPr>
            <w:tcW w:w="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42%</w:t>
            </w: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24,745</w:t>
            </w:r>
          </w:p>
        </w:tc>
        <w:tc>
          <w:tcPr>
            <w:tcW w:w="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44%</w:t>
            </w: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59,103</w:t>
            </w:r>
          </w:p>
        </w:tc>
        <w:tc>
          <w:tcPr>
            <w:tcW w:w="4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42%</w:t>
            </w: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tcBorders>
              <w:top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60,612</w:t>
            </w:r>
          </w:p>
        </w:tc>
        <w:tc>
          <w:tcPr>
            <w:tcW w:w="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CCEEFF"/>
            </w:tcBorders>
            <w:shd w:val="clear" w:color="auto" w:fill="CCEEFF"/>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43%</w:t>
            </w:r>
          </w:p>
        </w:tc>
        <w:tc>
          <w:tcPr>
            <w:tcW w:w="8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jc w:val="right"/>
              <w:ind w:right="37"/>
              <w:spacing w:after="0" w:line="83" w:lineRule="exact"/>
              <w:rPr>
                <w:sz w:val="20"/>
                <w:szCs w:val="20"/>
                <w:color w:val="auto"/>
              </w:rPr>
            </w:pPr>
            <w:r>
              <w:rPr>
                <w:rFonts w:ascii="Times New Roman" w:cs="Times New Roman" w:eastAsia="Times New Roman" w:hAnsi="Times New Roman"/>
                <w:sz w:val="9"/>
                <w:szCs w:val="9"/>
                <w:b w:val="1"/>
                <w:bCs w:val="1"/>
                <w:color w:val="auto"/>
              </w:rPr>
              <w:t>(17)%</w:t>
            </w:r>
          </w:p>
        </w:tc>
        <w:tc>
          <w:tcPr>
            <w:tcW w:w="560" w:type="dxa"/>
            <w:vAlign w:val="bottom"/>
            <w:tcBorders>
              <w:top w:val="single" w:sz="8" w:color="CCEEFF"/>
            </w:tcBorders>
            <w:shd w:val="clear" w:color="auto" w:fill="CCEEFF"/>
          </w:tcPr>
          <w:p>
            <w:pPr>
              <w:jc w:val="right"/>
              <w:ind w:right="17"/>
              <w:spacing w:after="0" w:line="83" w:lineRule="exact"/>
              <w:rPr>
                <w:sz w:val="20"/>
                <w:szCs w:val="20"/>
                <w:color w:val="auto"/>
              </w:rPr>
            </w:pP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93"/>
        </w:trPr>
        <w:tc>
          <w:tcPr>
            <w:tcW w:w="12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b w:val="1"/>
                <w:bCs w:val="1"/>
                <w:color w:val="auto"/>
              </w:rPr>
              <w:t>—</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b w:val="1"/>
                <w:bCs w:val="1"/>
                <w:color w:val="auto"/>
              </w:rPr>
              <w:t>—</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New Zealand</w:t>
            </w:r>
          </w:p>
        </w:tc>
        <w:tc>
          <w:tcPr>
            <w:tcW w:w="298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Admissions revenue</w:t>
            </w:r>
          </w:p>
        </w:tc>
        <w:tc>
          <w:tcPr>
            <w:tcW w:w="180" w:type="dxa"/>
            <w:vAlign w:val="bottom"/>
            <w:gridSpan w:val="2"/>
            <w:shd w:val="clear" w:color="auto" w:fill="CCEEFF"/>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rPr>
              <w:t>$</w:t>
            </w: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1,836</w:t>
            </w: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4%</w:t>
            </w:r>
          </w:p>
        </w:tc>
        <w:tc>
          <w:tcPr>
            <w:tcW w:w="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2,215</w:t>
            </w: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4%</w:t>
            </w:r>
          </w:p>
        </w:tc>
        <w:tc>
          <w:tcPr>
            <w:tcW w:w="180" w:type="dxa"/>
            <w:vAlign w:val="bottom"/>
            <w:gridSpan w:val="2"/>
            <w:shd w:val="clear" w:color="auto" w:fill="CCEEFF"/>
          </w:tcPr>
          <w:p>
            <w:pPr>
              <w:jc w:val="right"/>
              <w:ind w:right="53"/>
              <w:spacing w:after="0" w:line="94" w:lineRule="exact"/>
              <w:rPr>
                <w:sz w:val="20"/>
                <w:szCs w:val="20"/>
                <w:color w:val="auto"/>
              </w:rPr>
            </w:pPr>
            <w:r>
              <w:rPr>
                <w:rFonts w:ascii="Times New Roman" w:cs="Times New Roman" w:eastAsia="Times New Roman" w:hAnsi="Times New Roman"/>
                <w:sz w:val="9"/>
                <w:szCs w:val="9"/>
                <w:color w:val="auto"/>
              </w:rPr>
              <w:t>$</w:t>
            </w:r>
          </w:p>
        </w:tc>
        <w:tc>
          <w:tcPr>
            <w:tcW w:w="760" w:type="dxa"/>
            <w:vAlign w:val="bottom"/>
            <w:gridSpan w:val="2"/>
            <w:shd w:val="clear" w:color="auto" w:fill="CCEEFF"/>
          </w:tcPr>
          <w:p>
            <w:pPr>
              <w:jc w:val="right"/>
              <w:ind w:right="40"/>
              <w:spacing w:after="0" w:line="94" w:lineRule="exact"/>
              <w:rPr>
                <w:sz w:val="20"/>
                <w:szCs w:val="20"/>
                <w:color w:val="auto"/>
              </w:rPr>
            </w:pPr>
            <w:r>
              <w:rPr>
                <w:rFonts w:ascii="Times New Roman" w:cs="Times New Roman" w:eastAsia="Times New Roman" w:hAnsi="Times New Roman"/>
                <w:sz w:val="9"/>
                <w:szCs w:val="9"/>
                <w:color w:val="auto"/>
              </w:rPr>
              <w:t>5,718</w:t>
            </w:r>
          </w:p>
        </w:tc>
        <w:tc>
          <w:tcPr>
            <w:tcW w:w="56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4%</w:t>
            </w:r>
          </w:p>
        </w:tc>
        <w:tc>
          <w:tcPr>
            <w:tcW w:w="120" w:type="dxa"/>
            <w:vAlign w:val="bottom"/>
            <w:gridSpan w:val="2"/>
            <w:shd w:val="clear" w:color="auto" w:fill="CCEEFF"/>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w w:val="87"/>
              </w:rPr>
              <w:t>$</w:t>
            </w:r>
          </w:p>
        </w:tc>
        <w:tc>
          <w:tcPr>
            <w:tcW w:w="76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5,559</w:t>
            </w:r>
          </w:p>
        </w:tc>
        <w:tc>
          <w:tcPr>
            <w:tcW w:w="54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4%</w:t>
            </w: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(17)%</w:t>
            </w:r>
          </w:p>
        </w:tc>
        <w:tc>
          <w:tcPr>
            <w:tcW w:w="56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3%</w:t>
            </w:r>
          </w:p>
        </w:tc>
        <w:tc>
          <w:tcPr>
            <w:tcW w:w="0" w:type="dxa"/>
            <w:vAlign w:val="bottom"/>
          </w:tcPr>
          <w:p>
            <w:pPr>
              <w:spacing w:after="0"/>
              <w:rPr>
                <w:sz w:val="1"/>
                <w:szCs w:val="1"/>
                <w:color w:val="auto"/>
              </w:rPr>
            </w:pPr>
          </w:p>
        </w:tc>
      </w:tr>
      <w:tr>
        <w:trPr>
          <w:trHeight w:val="93"/>
        </w:trPr>
        <w:tc>
          <w:tcPr>
            <w:tcW w:w="1200" w:type="dxa"/>
            <w:vAlign w:val="bottom"/>
          </w:tcPr>
          <w:p>
            <w:pPr>
              <w:spacing w:after="0"/>
              <w:rPr>
                <w:sz w:val="8"/>
                <w:szCs w:val="8"/>
                <w:color w:val="auto"/>
              </w:rPr>
            </w:pPr>
          </w:p>
        </w:tc>
        <w:tc>
          <w:tcPr>
            <w:tcW w:w="2980" w:type="dxa"/>
            <w:vAlign w:val="bottom"/>
          </w:tcPr>
          <w:p>
            <w:pPr>
              <w:ind w:left="100"/>
              <w:spacing w:after="0" w:line="94" w:lineRule="exact"/>
              <w:rPr>
                <w:sz w:val="20"/>
                <w:szCs w:val="20"/>
                <w:color w:val="auto"/>
              </w:rPr>
            </w:pPr>
            <w:r>
              <w:rPr>
                <w:rFonts w:ascii="Times New Roman" w:cs="Times New Roman" w:eastAsia="Times New Roman" w:hAnsi="Times New Roman"/>
                <w:sz w:val="9"/>
                <w:szCs w:val="9"/>
                <w:color w:val="auto"/>
              </w:rPr>
              <w:t>Food &amp; beverage revenue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906</w:t>
            </w: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100" w:type="dxa"/>
            <w:vAlign w:val="bottom"/>
          </w:tcPr>
          <w:p>
            <w:pPr>
              <w:spacing w:after="0"/>
              <w:rPr>
                <w:sz w:val="8"/>
                <w:szCs w:val="8"/>
                <w:color w:val="auto"/>
              </w:rPr>
            </w:pPr>
          </w:p>
        </w:tc>
        <w:tc>
          <w:tcPr>
            <w:tcW w:w="74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1,339</w:t>
            </w: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tcPr>
          <w:p>
            <w:pPr>
              <w:jc w:val="right"/>
              <w:ind w:right="40"/>
              <w:spacing w:after="0" w:line="94" w:lineRule="exact"/>
              <w:rPr>
                <w:sz w:val="20"/>
                <w:szCs w:val="20"/>
                <w:color w:val="auto"/>
              </w:rPr>
            </w:pPr>
            <w:r>
              <w:rPr>
                <w:rFonts w:ascii="Times New Roman" w:cs="Times New Roman" w:eastAsia="Times New Roman" w:hAnsi="Times New Roman"/>
                <w:sz w:val="9"/>
                <w:szCs w:val="9"/>
                <w:color w:val="auto"/>
              </w:rPr>
              <w:t>2,807</w:t>
            </w:r>
          </w:p>
        </w:tc>
        <w:tc>
          <w:tcPr>
            <w:tcW w:w="56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3,262</w:t>
            </w:r>
          </w:p>
        </w:tc>
        <w:tc>
          <w:tcPr>
            <w:tcW w:w="54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80" w:type="dxa"/>
            <w:vAlign w:val="bottom"/>
          </w:tcPr>
          <w:p>
            <w:pPr>
              <w:spacing w:after="0"/>
              <w:rPr>
                <w:sz w:val="8"/>
                <w:szCs w:val="8"/>
                <w:color w:val="auto"/>
              </w:rPr>
            </w:pPr>
          </w:p>
        </w:tc>
        <w:tc>
          <w:tcPr>
            <w:tcW w:w="76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(32)%</w:t>
            </w:r>
          </w:p>
        </w:tc>
        <w:tc>
          <w:tcPr>
            <w:tcW w:w="560" w:type="dxa"/>
            <w:vAlign w:val="bottom"/>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(14)%</w:t>
            </w: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spacing w:after="0"/>
              <w:rPr>
                <w:sz w:val="8"/>
                <w:szCs w:val="8"/>
                <w:color w:val="auto"/>
              </w:rPr>
            </w:pPr>
          </w:p>
        </w:tc>
        <w:tc>
          <w:tcPr>
            <w:tcW w:w="298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Advertising and other revenue</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179</w:t>
            </w: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242</w:t>
            </w: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40"/>
              <w:spacing w:after="0" w:line="94" w:lineRule="exact"/>
              <w:rPr>
                <w:sz w:val="20"/>
                <w:szCs w:val="20"/>
                <w:color w:val="auto"/>
              </w:rPr>
            </w:pPr>
            <w:r>
              <w:rPr>
                <w:rFonts w:ascii="Times New Roman" w:cs="Times New Roman" w:eastAsia="Times New Roman" w:hAnsi="Times New Roman"/>
                <w:sz w:val="9"/>
                <w:szCs w:val="9"/>
                <w:color w:val="auto"/>
              </w:rPr>
              <w:t>436</w:t>
            </w:r>
          </w:p>
        </w:tc>
        <w:tc>
          <w:tcPr>
            <w:tcW w:w="56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536</w:t>
            </w:r>
          </w:p>
        </w:tc>
        <w:tc>
          <w:tcPr>
            <w:tcW w:w="54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(26)%</w:t>
            </w:r>
          </w:p>
        </w:tc>
        <w:tc>
          <w:tcPr>
            <w:tcW w:w="56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(19)%</w:t>
            </w:r>
          </w:p>
        </w:tc>
        <w:tc>
          <w:tcPr>
            <w:tcW w:w="0" w:type="dxa"/>
            <w:vAlign w:val="bottom"/>
          </w:tcPr>
          <w:p>
            <w:pPr>
              <w:spacing w:after="0"/>
              <w:rPr>
                <w:sz w:val="1"/>
                <w:szCs w:val="1"/>
                <w:color w:val="auto"/>
              </w:rPr>
            </w:pPr>
          </w:p>
        </w:tc>
      </w:tr>
      <w:tr>
        <w:trPr>
          <w:trHeight w:val="82"/>
        </w:trPr>
        <w:tc>
          <w:tcPr>
            <w:tcW w:w="1200" w:type="dxa"/>
            <w:vAlign w:val="bottom"/>
          </w:tcPr>
          <w:p>
            <w:pPr>
              <w:spacing w:after="0"/>
              <w:rPr>
                <w:sz w:val="7"/>
                <w:szCs w:val="7"/>
                <w:color w:val="auto"/>
              </w:rPr>
            </w:pPr>
          </w:p>
        </w:tc>
        <w:tc>
          <w:tcPr>
            <w:tcW w:w="2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2,921</w:t>
            </w:r>
          </w:p>
        </w:tc>
        <w:tc>
          <w:tcPr>
            <w:tcW w:w="20" w:type="dxa"/>
            <w:vAlign w:val="bottom"/>
          </w:tcPr>
          <w:p>
            <w:pPr>
              <w:spacing w:after="0"/>
              <w:rPr>
                <w:sz w:val="7"/>
                <w:szCs w:val="7"/>
                <w:color w:val="auto"/>
              </w:rPr>
            </w:pPr>
          </w:p>
        </w:tc>
        <w:tc>
          <w:tcPr>
            <w:tcW w:w="52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6%</w:t>
            </w:r>
          </w:p>
        </w:tc>
        <w:tc>
          <w:tcPr>
            <w:tcW w:w="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3,796</w:t>
            </w:r>
          </w:p>
        </w:tc>
        <w:tc>
          <w:tcPr>
            <w:tcW w:w="20" w:type="dxa"/>
            <w:vAlign w:val="bottom"/>
          </w:tcPr>
          <w:p>
            <w:pPr>
              <w:spacing w:after="0"/>
              <w:rPr>
                <w:sz w:val="7"/>
                <w:szCs w:val="7"/>
                <w:color w:val="auto"/>
              </w:rPr>
            </w:pPr>
          </w:p>
        </w:tc>
        <w:tc>
          <w:tcPr>
            <w:tcW w:w="52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7%</w:t>
            </w:r>
          </w:p>
        </w:tc>
        <w:tc>
          <w:tcPr>
            <w:tcW w:w="60" w:type="dxa"/>
            <w:vAlign w:val="bottom"/>
          </w:tcPr>
          <w:p>
            <w:pPr>
              <w:spacing w:after="0"/>
              <w:rPr>
                <w:sz w:val="7"/>
                <w:szCs w:val="7"/>
                <w:color w:val="auto"/>
              </w:rPr>
            </w:pPr>
          </w:p>
        </w:tc>
        <w:tc>
          <w:tcPr>
            <w:tcW w:w="1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8,961</w:t>
            </w:r>
          </w:p>
        </w:tc>
        <w:tc>
          <w:tcPr>
            <w:tcW w:w="40" w:type="dxa"/>
            <w:vAlign w:val="bottom"/>
          </w:tcPr>
          <w:p>
            <w:pPr>
              <w:spacing w:after="0"/>
              <w:rPr>
                <w:sz w:val="7"/>
                <w:szCs w:val="7"/>
                <w:color w:val="auto"/>
              </w:rPr>
            </w:pPr>
          </w:p>
        </w:tc>
        <w:tc>
          <w:tcPr>
            <w:tcW w:w="56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6%</w:t>
            </w:r>
          </w:p>
        </w:tc>
        <w:tc>
          <w:tcPr>
            <w:tcW w:w="20" w:type="dxa"/>
            <w:vAlign w:val="bottom"/>
          </w:tcPr>
          <w:p>
            <w:pPr>
              <w:spacing w:after="0"/>
              <w:rPr>
                <w:sz w:val="7"/>
                <w:szCs w:val="7"/>
                <w:color w:val="auto"/>
              </w:rPr>
            </w:pPr>
          </w:p>
        </w:tc>
        <w:tc>
          <w:tcPr>
            <w:tcW w:w="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9,357</w:t>
            </w:r>
          </w:p>
        </w:tc>
        <w:tc>
          <w:tcPr>
            <w:tcW w:w="20" w:type="dxa"/>
            <w:vAlign w:val="bottom"/>
          </w:tcPr>
          <w:p>
            <w:pPr>
              <w:spacing w:after="0"/>
              <w:rPr>
                <w:sz w:val="7"/>
                <w:szCs w:val="7"/>
                <w:color w:val="auto"/>
              </w:rPr>
            </w:pPr>
          </w:p>
        </w:tc>
        <w:tc>
          <w:tcPr>
            <w:tcW w:w="54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7%</w:t>
            </w:r>
          </w:p>
        </w:tc>
        <w:tc>
          <w:tcPr>
            <w:tcW w:w="80" w:type="dxa"/>
            <w:vAlign w:val="bottom"/>
          </w:tcPr>
          <w:p>
            <w:pPr>
              <w:spacing w:after="0"/>
              <w:rPr>
                <w:sz w:val="7"/>
                <w:szCs w:val="7"/>
                <w:color w:val="auto"/>
              </w:rPr>
            </w:pPr>
          </w:p>
        </w:tc>
        <w:tc>
          <w:tcPr>
            <w:tcW w:w="760" w:type="dxa"/>
            <w:vAlign w:val="bottom"/>
          </w:tcPr>
          <w:p>
            <w:pPr>
              <w:jc w:val="right"/>
              <w:ind w:right="37"/>
              <w:spacing w:after="0" w:line="83" w:lineRule="exact"/>
              <w:rPr>
                <w:sz w:val="20"/>
                <w:szCs w:val="20"/>
                <w:color w:val="auto"/>
              </w:rPr>
            </w:pPr>
            <w:r>
              <w:rPr>
                <w:rFonts w:ascii="Times New Roman" w:cs="Times New Roman" w:eastAsia="Times New Roman" w:hAnsi="Times New Roman"/>
                <w:sz w:val="9"/>
                <w:szCs w:val="9"/>
                <w:b w:val="1"/>
                <w:bCs w:val="1"/>
                <w:color w:val="auto"/>
              </w:rPr>
              <w:t>(23)%</w:t>
            </w:r>
          </w:p>
        </w:tc>
        <w:tc>
          <w:tcPr>
            <w:tcW w:w="560" w:type="dxa"/>
            <w:vAlign w:val="bottom"/>
          </w:tcPr>
          <w:p>
            <w:pPr>
              <w:jc w:val="right"/>
              <w:ind w:right="17"/>
              <w:spacing w:after="0" w:line="83" w:lineRule="exact"/>
              <w:rPr>
                <w:sz w:val="20"/>
                <w:szCs w:val="20"/>
                <w:color w:val="auto"/>
              </w:rPr>
            </w:pPr>
            <w:r>
              <w:rPr>
                <w:rFonts w:ascii="Times New Roman" w:cs="Times New Roman" w:eastAsia="Times New Roman" w:hAnsi="Times New Roman"/>
                <w:sz w:val="9"/>
                <w:szCs w:val="9"/>
                <w:b w:val="1"/>
                <w:bCs w:val="1"/>
                <w:color w:val="auto"/>
              </w:rPr>
              <w:t>(4)%</w:t>
            </w: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spacing w:after="0"/>
              <w:rPr>
                <w:sz w:val="8"/>
                <w:szCs w:val="8"/>
                <w:color w:val="auto"/>
              </w:rPr>
            </w:pPr>
          </w:p>
        </w:tc>
        <w:tc>
          <w:tcPr>
            <w:tcW w:w="2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200" w:type="dxa"/>
            <w:vAlign w:val="bottom"/>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Total revenue</w:t>
            </w:r>
          </w:p>
        </w:tc>
        <w:tc>
          <w:tcPr>
            <w:tcW w:w="2980" w:type="dxa"/>
            <w:vAlign w:val="bottom"/>
          </w:tcPr>
          <w:p>
            <w:pPr>
              <w:spacing w:after="0"/>
              <w:rPr>
                <w:sz w:val="8"/>
                <w:szCs w:val="8"/>
                <w:color w:val="auto"/>
              </w:rPr>
            </w:pPr>
          </w:p>
        </w:tc>
        <w:tc>
          <w:tcPr>
            <w:tcW w:w="180" w:type="dxa"/>
            <w:vAlign w:val="bottom"/>
            <w:gridSpan w:val="2"/>
          </w:tcPr>
          <w:p>
            <w:pPr>
              <w:jc w:val="right"/>
              <w:ind w:right="33"/>
              <w:spacing w:after="0" w:line="94" w:lineRule="exact"/>
              <w:rPr>
                <w:sz w:val="20"/>
                <w:szCs w:val="20"/>
                <w:color w:val="auto"/>
              </w:rPr>
            </w:pPr>
            <w:r>
              <w:rPr>
                <w:rFonts w:ascii="Times New Roman" w:cs="Times New Roman" w:eastAsia="Times New Roman" w:hAnsi="Times New Roman"/>
                <w:sz w:val="9"/>
                <w:szCs w:val="9"/>
                <w:b w:val="1"/>
                <w:bCs w:val="1"/>
                <w:color w:val="auto"/>
              </w:rPr>
              <w:t>$</w:t>
            </w: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b w:val="1"/>
                <w:bCs w:val="1"/>
                <w:color w:val="auto"/>
              </w:rPr>
              <w:t>48,555</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5"/>
              </w:rPr>
              <w:t>100%</w:t>
            </w: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b w:val="1"/>
                <w:bCs w:val="1"/>
                <w:color w:val="auto"/>
              </w:rPr>
              <w:t>56,357</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5"/>
              </w:rPr>
              <w:t>100%</w:t>
            </w:r>
          </w:p>
        </w:tc>
        <w:tc>
          <w:tcPr>
            <w:tcW w:w="180" w:type="dxa"/>
            <w:vAlign w:val="bottom"/>
            <w:gridSpan w:val="2"/>
          </w:tcPr>
          <w:p>
            <w:pPr>
              <w:jc w:val="right"/>
              <w:ind w:right="53"/>
              <w:spacing w:after="0" w:line="94" w:lineRule="exact"/>
              <w:rPr>
                <w:sz w:val="20"/>
                <w:szCs w:val="20"/>
                <w:color w:val="auto"/>
              </w:rPr>
            </w:pPr>
            <w:r>
              <w:rPr>
                <w:rFonts w:ascii="Times New Roman" w:cs="Times New Roman" w:eastAsia="Times New Roman" w:hAnsi="Times New Roman"/>
                <w:sz w:val="9"/>
                <w:szCs w:val="9"/>
                <w:b w:val="1"/>
                <w:bCs w:val="1"/>
                <w:color w:val="auto"/>
              </w:rPr>
              <w:t>$</w:t>
            </w:r>
          </w:p>
        </w:tc>
        <w:tc>
          <w:tcPr>
            <w:tcW w:w="760" w:type="dxa"/>
            <w:vAlign w:val="bottom"/>
            <w:gridSpan w:val="2"/>
          </w:tcPr>
          <w:p>
            <w:pPr>
              <w:jc w:val="right"/>
              <w:ind w:right="40"/>
              <w:spacing w:after="0" w:line="94" w:lineRule="exact"/>
              <w:rPr>
                <w:sz w:val="20"/>
                <w:szCs w:val="20"/>
                <w:color w:val="auto"/>
              </w:rPr>
            </w:pPr>
            <w:r>
              <w:rPr>
                <w:rFonts w:ascii="Times New Roman" w:cs="Times New Roman" w:eastAsia="Times New Roman" w:hAnsi="Times New Roman"/>
                <w:sz w:val="9"/>
                <w:szCs w:val="9"/>
                <w:b w:val="1"/>
                <w:bCs w:val="1"/>
                <w:color w:val="auto"/>
              </w:rPr>
              <w:t>141,740</w:t>
            </w:r>
          </w:p>
        </w:tc>
        <w:tc>
          <w:tcPr>
            <w:tcW w:w="56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5"/>
              </w:rPr>
              <w:t>100%</w:t>
            </w:r>
          </w:p>
        </w:tc>
        <w:tc>
          <w:tcPr>
            <w:tcW w:w="120" w:type="dxa"/>
            <w:vAlign w:val="bottom"/>
            <w:gridSpan w:val="2"/>
          </w:tcPr>
          <w:p>
            <w:pPr>
              <w:jc w:val="right"/>
              <w:ind w:right="33"/>
              <w:spacing w:after="0" w:line="94" w:lineRule="exact"/>
              <w:rPr>
                <w:sz w:val="20"/>
                <w:szCs w:val="20"/>
                <w:color w:val="auto"/>
              </w:rPr>
            </w:pPr>
            <w:r>
              <w:rPr>
                <w:rFonts w:ascii="Times New Roman" w:cs="Times New Roman" w:eastAsia="Times New Roman" w:hAnsi="Times New Roman"/>
                <w:sz w:val="9"/>
                <w:szCs w:val="9"/>
                <w:b w:val="1"/>
                <w:bCs w:val="1"/>
                <w:color w:val="auto"/>
                <w:w w:val="87"/>
              </w:rPr>
              <w:t>$</w:t>
            </w:r>
          </w:p>
        </w:tc>
        <w:tc>
          <w:tcPr>
            <w:tcW w:w="76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b w:val="1"/>
                <w:bCs w:val="1"/>
                <w:color w:val="auto"/>
              </w:rPr>
              <w:t>140,570</w:t>
            </w:r>
          </w:p>
        </w:tc>
        <w:tc>
          <w:tcPr>
            <w:tcW w:w="54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5"/>
              </w:rPr>
              <w:t>100%</w:t>
            </w:r>
          </w:p>
        </w:tc>
        <w:tc>
          <w:tcPr>
            <w:tcW w:w="80" w:type="dxa"/>
            <w:vAlign w:val="bottom"/>
          </w:tcPr>
          <w:p>
            <w:pPr>
              <w:spacing w:after="0"/>
              <w:rPr>
                <w:sz w:val="8"/>
                <w:szCs w:val="8"/>
                <w:color w:val="auto"/>
              </w:rPr>
            </w:pPr>
          </w:p>
        </w:tc>
        <w:tc>
          <w:tcPr>
            <w:tcW w:w="760" w:type="dxa"/>
            <w:vAlign w:val="bottom"/>
          </w:tcPr>
          <w:p>
            <w:pPr>
              <w:jc w:val="right"/>
              <w:ind w:right="37"/>
              <w:spacing w:after="0" w:line="94" w:lineRule="exact"/>
              <w:rPr>
                <w:sz w:val="20"/>
                <w:szCs w:val="20"/>
                <w:color w:val="auto"/>
              </w:rPr>
            </w:pPr>
            <w:r>
              <w:rPr>
                <w:rFonts w:ascii="Times New Roman" w:cs="Times New Roman" w:eastAsia="Times New Roman" w:hAnsi="Times New Roman"/>
                <w:sz w:val="9"/>
                <w:szCs w:val="9"/>
                <w:b w:val="1"/>
                <w:bCs w:val="1"/>
                <w:color w:val="auto"/>
              </w:rPr>
              <w:t>(14)%</w:t>
            </w:r>
          </w:p>
        </w:tc>
        <w:tc>
          <w:tcPr>
            <w:tcW w:w="560" w:type="dxa"/>
            <w:vAlign w:val="bottom"/>
          </w:tcPr>
          <w:p>
            <w:pPr>
              <w:jc w:val="right"/>
              <w:ind w:right="17"/>
              <w:spacing w:after="0" w:line="94" w:lineRule="exact"/>
              <w:rPr>
                <w:sz w:val="20"/>
                <w:szCs w:val="20"/>
                <w:color w:val="auto"/>
              </w:rPr>
            </w:pP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92"/>
        </w:trPr>
        <w:tc>
          <w:tcPr>
            <w:tcW w:w="1200" w:type="dxa"/>
            <w:vAlign w:val="bottom"/>
            <w:tcBorders>
              <w:top w:val="single" w:sz="8" w:color="CCEEFF"/>
            </w:tcBorders>
            <w:shd w:val="clear" w:color="auto" w:fill="CCEEFF"/>
          </w:tcPr>
          <w:p>
            <w:pPr>
              <w:spacing w:after="0"/>
              <w:rPr>
                <w:sz w:val="7"/>
                <w:szCs w:val="7"/>
                <w:color w:val="auto"/>
              </w:rPr>
            </w:pPr>
          </w:p>
        </w:tc>
        <w:tc>
          <w:tcPr>
            <w:tcW w:w="29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Pr>
          <w:p>
            <w:pPr>
              <w:spacing w:after="0" w:line="94" w:lineRule="exact"/>
              <w:rPr>
                <w:sz w:val="20"/>
                <w:szCs w:val="20"/>
                <w:color w:val="auto"/>
              </w:rPr>
            </w:pPr>
            <w:r>
              <w:rPr>
                <w:rFonts w:ascii="Times New Roman" w:cs="Times New Roman" w:eastAsia="Times New Roman" w:hAnsi="Times New Roman"/>
                <w:sz w:val="9"/>
                <w:szCs w:val="9"/>
                <w:b w:val="1"/>
                <w:bCs w:val="1"/>
                <w:color w:val="auto"/>
              </w:rPr>
              <w:t>OPERATING EXPENSE</w:t>
            </w:r>
          </w:p>
        </w:tc>
        <w:tc>
          <w:tcPr>
            <w:tcW w:w="2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United States</w:t>
            </w:r>
          </w:p>
        </w:tc>
        <w:tc>
          <w:tcPr>
            <w:tcW w:w="298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Film rent and advertising cost</w:t>
            </w:r>
          </w:p>
        </w:tc>
        <w:tc>
          <w:tcPr>
            <w:tcW w:w="180" w:type="dxa"/>
            <w:vAlign w:val="bottom"/>
            <w:gridSpan w:val="2"/>
            <w:shd w:val="clear" w:color="auto" w:fill="CCEEFF"/>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(7,557)</w:t>
            </w: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16%</w:t>
            </w:r>
          </w:p>
        </w:tc>
        <w:tc>
          <w:tcPr>
            <w:tcW w:w="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(8,783)</w:t>
            </w: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16%</w:t>
            </w:r>
          </w:p>
        </w:tc>
        <w:tc>
          <w:tcPr>
            <w:tcW w:w="180" w:type="dxa"/>
            <w:vAlign w:val="bottom"/>
            <w:gridSpan w:val="2"/>
            <w:shd w:val="clear" w:color="auto" w:fill="CCEEFF"/>
          </w:tcPr>
          <w:p>
            <w:pPr>
              <w:jc w:val="right"/>
              <w:ind w:right="53"/>
              <w:spacing w:after="0" w:line="94" w:lineRule="exact"/>
              <w:rPr>
                <w:sz w:val="20"/>
                <w:szCs w:val="20"/>
                <w:color w:val="auto"/>
              </w:rPr>
            </w:pPr>
            <w:r>
              <w:rPr>
                <w:rFonts w:ascii="Times New Roman" w:cs="Times New Roman" w:eastAsia="Times New Roman" w:hAnsi="Times New Roman"/>
                <w:sz w:val="9"/>
                <w:szCs w:val="9"/>
                <w:color w:val="auto"/>
              </w:rPr>
              <w:t>$</w:t>
            </w:r>
          </w:p>
        </w:tc>
        <w:tc>
          <w:tcPr>
            <w:tcW w:w="760" w:type="dxa"/>
            <w:vAlign w:val="bottom"/>
            <w:gridSpan w:val="2"/>
            <w:shd w:val="clear" w:color="auto" w:fill="CCEEFF"/>
          </w:tcPr>
          <w:p>
            <w:pPr>
              <w:jc w:val="right"/>
              <w:ind w:right="40"/>
              <w:spacing w:after="0" w:line="94" w:lineRule="exact"/>
              <w:rPr>
                <w:sz w:val="20"/>
                <w:szCs w:val="20"/>
                <w:color w:val="auto"/>
              </w:rPr>
            </w:pPr>
            <w:r>
              <w:rPr>
                <w:rFonts w:ascii="Times New Roman" w:cs="Times New Roman" w:eastAsia="Times New Roman" w:hAnsi="Times New Roman"/>
                <w:sz w:val="9"/>
                <w:szCs w:val="9"/>
                <w:color w:val="auto"/>
              </w:rPr>
              <w:t>(21,723)</w:t>
            </w:r>
          </w:p>
        </w:tc>
        <w:tc>
          <w:tcPr>
            <w:tcW w:w="56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15%</w:t>
            </w:r>
          </w:p>
        </w:tc>
        <w:tc>
          <w:tcPr>
            <w:tcW w:w="120" w:type="dxa"/>
            <w:vAlign w:val="bottom"/>
            <w:gridSpan w:val="2"/>
            <w:shd w:val="clear" w:color="auto" w:fill="CCEEFF"/>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w w:val="87"/>
              </w:rPr>
              <w:t>$</w:t>
            </w:r>
          </w:p>
        </w:tc>
        <w:tc>
          <w:tcPr>
            <w:tcW w:w="76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(21,192)</w:t>
            </w:r>
          </w:p>
        </w:tc>
        <w:tc>
          <w:tcPr>
            <w:tcW w:w="54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15%</w:t>
            </w: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14%</w:t>
            </w:r>
          </w:p>
        </w:tc>
        <w:tc>
          <w:tcPr>
            <w:tcW w:w="56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(3)%</w:t>
            </w:r>
          </w:p>
        </w:tc>
        <w:tc>
          <w:tcPr>
            <w:tcW w:w="0" w:type="dxa"/>
            <w:vAlign w:val="bottom"/>
          </w:tcPr>
          <w:p>
            <w:pPr>
              <w:spacing w:after="0"/>
              <w:rPr>
                <w:sz w:val="1"/>
                <w:szCs w:val="1"/>
                <w:color w:val="auto"/>
              </w:rPr>
            </w:pPr>
          </w:p>
        </w:tc>
      </w:tr>
      <w:tr>
        <w:trPr>
          <w:trHeight w:val="93"/>
        </w:trPr>
        <w:tc>
          <w:tcPr>
            <w:tcW w:w="1200" w:type="dxa"/>
            <w:vAlign w:val="bottom"/>
          </w:tcPr>
          <w:p>
            <w:pPr>
              <w:spacing w:after="0"/>
              <w:rPr>
                <w:sz w:val="8"/>
                <w:szCs w:val="8"/>
                <w:color w:val="auto"/>
              </w:rPr>
            </w:pPr>
          </w:p>
        </w:tc>
        <w:tc>
          <w:tcPr>
            <w:tcW w:w="2980" w:type="dxa"/>
            <w:vAlign w:val="bottom"/>
          </w:tcPr>
          <w:p>
            <w:pPr>
              <w:ind w:left="100"/>
              <w:spacing w:after="0" w:line="94" w:lineRule="exact"/>
              <w:rPr>
                <w:sz w:val="20"/>
                <w:szCs w:val="20"/>
                <w:color w:val="auto"/>
              </w:rPr>
            </w:pPr>
            <w:r>
              <w:rPr>
                <w:rFonts w:ascii="Times New Roman" w:cs="Times New Roman" w:eastAsia="Times New Roman" w:hAnsi="Times New Roman"/>
                <w:sz w:val="9"/>
                <w:szCs w:val="9"/>
                <w:color w:val="auto"/>
              </w:rPr>
              <w:t>Food &amp; beverage cost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(2,344)</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5%</w:t>
            </w:r>
          </w:p>
        </w:tc>
        <w:tc>
          <w:tcPr>
            <w:tcW w:w="10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(2,632)</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5%</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(6,858)</w:t>
            </w:r>
          </w:p>
        </w:tc>
        <w:tc>
          <w:tcPr>
            <w:tcW w:w="40" w:type="dxa"/>
            <w:vAlign w:val="bottom"/>
          </w:tcPr>
          <w:p>
            <w:pPr>
              <w:spacing w:after="0"/>
              <w:rPr>
                <w:sz w:val="8"/>
                <w:szCs w:val="8"/>
                <w:color w:val="auto"/>
              </w:rPr>
            </w:pPr>
          </w:p>
        </w:tc>
        <w:tc>
          <w:tcPr>
            <w:tcW w:w="56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5%</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(6,550)</w:t>
            </w:r>
          </w:p>
        </w:tc>
        <w:tc>
          <w:tcPr>
            <w:tcW w:w="54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5%</w:t>
            </w:r>
          </w:p>
        </w:tc>
        <w:tc>
          <w:tcPr>
            <w:tcW w:w="80" w:type="dxa"/>
            <w:vAlign w:val="bottom"/>
          </w:tcPr>
          <w:p>
            <w:pPr>
              <w:spacing w:after="0"/>
              <w:rPr>
                <w:sz w:val="8"/>
                <w:szCs w:val="8"/>
                <w:color w:val="auto"/>
              </w:rPr>
            </w:pPr>
          </w:p>
        </w:tc>
        <w:tc>
          <w:tcPr>
            <w:tcW w:w="76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11%</w:t>
            </w:r>
          </w:p>
        </w:tc>
        <w:tc>
          <w:tcPr>
            <w:tcW w:w="560" w:type="dxa"/>
            <w:vAlign w:val="bottom"/>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(5)%</w:t>
            </w: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spacing w:after="0"/>
              <w:rPr>
                <w:sz w:val="8"/>
                <w:szCs w:val="8"/>
                <w:color w:val="auto"/>
              </w:rPr>
            </w:pPr>
          </w:p>
        </w:tc>
        <w:tc>
          <w:tcPr>
            <w:tcW w:w="298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Occupancy expense</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(4,112)</w:t>
            </w: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8%</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(5,198)</w:t>
            </w: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9%</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40"/>
              <w:spacing w:after="0" w:line="94" w:lineRule="exact"/>
              <w:rPr>
                <w:sz w:val="20"/>
                <w:szCs w:val="20"/>
                <w:color w:val="auto"/>
              </w:rPr>
            </w:pPr>
            <w:r>
              <w:rPr>
                <w:rFonts w:ascii="Times New Roman" w:cs="Times New Roman" w:eastAsia="Times New Roman" w:hAnsi="Times New Roman"/>
                <w:sz w:val="9"/>
                <w:szCs w:val="9"/>
                <w:color w:val="auto"/>
              </w:rPr>
              <w:t>(12,499)</w:t>
            </w:r>
          </w:p>
        </w:tc>
        <w:tc>
          <w:tcPr>
            <w:tcW w:w="56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9%</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(17,530)</w:t>
            </w:r>
          </w:p>
        </w:tc>
        <w:tc>
          <w:tcPr>
            <w:tcW w:w="54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12%</w:t>
            </w: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21%</w:t>
            </w:r>
          </w:p>
        </w:tc>
        <w:tc>
          <w:tcPr>
            <w:tcW w:w="56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29%</w:t>
            </w:r>
          </w:p>
        </w:tc>
        <w:tc>
          <w:tcPr>
            <w:tcW w:w="0" w:type="dxa"/>
            <w:vAlign w:val="bottom"/>
          </w:tcPr>
          <w:p>
            <w:pPr>
              <w:spacing w:after="0"/>
              <w:rPr>
                <w:sz w:val="1"/>
                <w:szCs w:val="1"/>
                <w:color w:val="auto"/>
              </w:rPr>
            </w:pPr>
          </w:p>
        </w:tc>
      </w:tr>
      <w:tr>
        <w:trPr>
          <w:trHeight w:val="93"/>
        </w:trPr>
        <w:tc>
          <w:tcPr>
            <w:tcW w:w="1200" w:type="dxa"/>
            <w:vAlign w:val="bottom"/>
          </w:tcPr>
          <w:p>
            <w:pPr>
              <w:spacing w:after="0"/>
              <w:rPr>
                <w:sz w:val="8"/>
                <w:szCs w:val="8"/>
                <w:color w:val="auto"/>
              </w:rPr>
            </w:pPr>
          </w:p>
        </w:tc>
        <w:tc>
          <w:tcPr>
            <w:tcW w:w="2980" w:type="dxa"/>
            <w:vAlign w:val="bottom"/>
          </w:tcPr>
          <w:p>
            <w:pPr>
              <w:ind w:left="100"/>
              <w:spacing w:after="0" w:line="94" w:lineRule="exact"/>
              <w:rPr>
                <w:sz w:val="20"/>
                <w:szCs w:val="20"/>
                <w:color w:val="auto"/>
              </w:rPr>
            </w:pPr>
            <w:r>
              <w:rPr>
                <w:rFonts w:ascii="Times New Roman" w:cs="Times New Roman" w:eastAsia="Times New Roman" w:hAnsi="Times New Roman"/>
                <w:sz w:val="9"/>
                <w:szCs w:val="9"/>
                <w:color w:val="auto"/>
              </w:rPr>
              <w:t>Labor cost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(4,184)</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9%</w:t>
            </w:r>
          </w:p>
        </w:tc>
        <w:tc>
          <w:tcPr>
            <w:tcW w:w="10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(4,657)</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8%</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tcPr>
          <w:p>
            <w:pPr>
              <w:jc w:val="right"/>
              <w:ind w:right="40"/>
              <w:spacing w:after="0" w:line="94" w:lineRule="exact"/>
              <w:rPr>
                <w:sz w:val="20"/>
                <w:szCs w:val="20"/>
                <w:color w:val="auto"/>
              </w:rPr>
            </w:pPr>
            <w:r>
              <w:rPr>
                <w:rFonts w:ascii="Times New Roman" w:cs="Times New Roman" w:eastAsia="Times New Roman" w:hAnsi="Times New Roman"/>
                <w:sz w:val="9"/>
                <w:szCs w:val="9"/>
                <w:color w:val="auto"/>
              </w:rPr>
              <w:t>(12,477)</w:t>
            </w:r>
          </w:p>
        </w:tc>
        <w:tc>
          <w:tcPr>
            <w:tcW w:w="56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9%</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(12,807)</w:t>
            </w:r>
          </w:p>
        </w:tc>
        <w:tc>
          <w:tcPr>
            <w:tcW w:w="54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9%</w:t>
            </w:r>
          </w:p>
        </w:tc>
        <w:tc>
          <w:tcPr>
            <w:tcW w:w="80" w:type="dxa"/>
            <w:vAlign w:val="bottom"/>
          </w:tcPr>
          <w:p>
            <w:pPr>
              <w:spacing w:after="0"/>
              <w:rPr>
                <w:sz w:val="8"/>
                <w:szCs w:val="8"/>
                <w:color w:val="auto"/>
              </w:rPr>
            </w:pPr>
          </w:p>
        </w:tc>
        <w:tc>
          <w:tcPr>
            <w:tcW w:w="76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10%</w:t>
            </w:r>
          </w:p>
        </w:tc>
        <w:tc>
          <w:tcPr>
            <w:tcW w:w="560" w:type="dxa"/>
            <w:vAlign w:val="bottom"/>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3%</w:t>
            </w: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spacing w:after="0"/>
              <w:rPr>
                <w:sz w:val="8"/>
                <w:szCs w:val="8"/>
                <w:color w:val="auto"/>
              </w:rPr>
            </w:pPr>
          </w:p>
        </w:tc>
        <w:tc>
          <w:tcPr>
            <w:tcW w:w="298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Utilities</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(1,657)</w:t>
            </w: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3%</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(1,957)</w:t>
            </w: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3%</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(4,207)</w:t>
            </w: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3%</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(4,602)</w:t>
            </w:r>
          </w:p>
        </w:tc>
        <w:tc>
          <w:tcPr>
            <w:tcW w:w="54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3%</w:t>
            </w: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15%</w:t>
            </w:r>
          </w:p>
        </w:tc>
        <w:tc>
          <w:tcPr>
            <w:tcW w:w="56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9%</w:t>
            </w:r>
          </w:p>
        </w:tc>
        <w:tc>
          <w:tcPr>
            <w:tcW w:w="0" w:type="dxa"/>
            <w:vAlign w:val="bottom"/>
          </w:tcPr>
          <w:p>
            <w:pPr>
              <w:spacing w:after="0"/>
              <w:rPr>
                <w:sz w:val="1"/>
                <w:szCs w:val="1"/>
                <w:color w:val="auto"/>
              </w:rPr>
            </w:pPr>
          </w:p>
        </w:tc>
      </w:tr>
      <w:tr>
        <w:trPr>
          <w:trHeight w:val="93"/>
        </w:trPr>
        <w:tc>
          <w:tcPr>
            <w:tcW w:w="1200" w:type="dxa"/>
            <w:vAlign w:val="bottom"/>
          </w:tcPr>
          <w:p>
            <w:pPr>
              <w:spacing w:after="0"/>
              <w:rPr>
                <w:sz w:val="8"/>
                <w:szCs w:val="8"/>
                <w:color w:val="auto"/>
              </w:rPr>
            </w:pPr>
          </w:p>
        </w:tc>
        <w:tc>
          <w:tcPr>
            <w:tcW w:w="2980" w:type="dxa"/>
            <w:vAlign w:val="bottom"/>
          </w:tcPr>
          <w:p>
            <w:pPr>
              <w:ind w:left="100"/>
              <w:spacing w:after="0" w:line="94" w:lineRule="exact"/>
              <w:rPr>
                <w:sz w:val="20"/>
                <w:szCs w:val="20"/>
                <w:color w:val="auto"/>
              </w:rPr>
            </w:pPr>
            <w:r>
              <w:rPr>
                <w:rFonts w:ascii="Times New Roman" w:cs="Times New Roman" w:eastAsia="Times New Roman" w:hAnsi="Times New Roman"/>
                <w:sz w:val="9"/>
                <w:szCs w:val="9"/>
                <w:color w:val="auto"/>
              </w:rPr>
              <w:t>Cleaning and maintenance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(1,751)</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4%</w:t>
            </w:r>
          </w:p>
        </w:tc>
        <w:tc>
          <w:tcPr>
            <w:tcW w:w="10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(1,914)</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3%</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(5,046)</w:t>
            </w:r>
          </w:p>
        </w:tc>
        <w:tc>
          <w:tcPr>
            <w:tcW w:w="40" w:type="dxa"/>
            <w:vAlign w:val="bottom"/>
          </w:tcPr>
          <w:p>
            <w:pPr>
              <w:spacing w:after="0"/>
              <w:rPr>
                <w:sz w:val="8"/>
                <w:szCs w:val="8"/>
                <w:color w:val="auto"/>
              </w:rPr>
            </w:pPr>
          </w:p>
        </w:tc>
        <w:tc>
          <w:tcPr>
            <w:tcW w:w="56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4%</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(4,998)</w:t>
            </w:r>
          </w:p>
        </w:tc>
        <w:tc>
          <w:tcPr>
            <w:tcW w:w="54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4%</w:t>
            </w:r>
          </w:p>
        </w:tc>
        <w:tc>
          <w:tcPr>
            <w:tcW w:w="80" w:type="dxa"/>
            <w:vAlign w:val="bottom"/>
          </w:tcPr>
          <w:p>
            <w:pPr>
              <w:spacing w:after="0"/>
              <w:rPr>
                <w:sz w:val="8"/>
                <w:szCs w:val="8"/>
                <w:color w:val="auto"/>
              </w:rPr>
            </w:pPr>
          </w:p>
        </w:tc>
        <w:tc>
          <w:tcPr>
            <w:tcW w:w="76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9%</w:t>
            </w:r>
          </w:p>
        </w:tc>
        <w:tc>
          <w:tcPr>
            <w:tcW w:w="560" w:type="dxa"/>
            <w:vAlign w:val="bottom"/>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spacing w:after="0"/>
              <w:rPr>
                <w:sz w:val="8"/>
                <w:szCs w:val="8"/>
                <w:color w:val="auto"/>
              </w:rPr>
            </w:pPr>
          </w:p>
        </w:tc>
        <w:tc>
          <w:tcPr>
            <w:tcW w:w="298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Insurance</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40"/>
              <w:spacing w:after="0" w:line="94"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3"/>
        </w:trPr>
        <w:tc>
          <w:tcPr>
            <w:tcW w:w="1200" w:type="dxa"/>
            <w:vAlign w:val="bottom"/>
          </w:tcPr>
          <w:p>
            <w:pPr>
              <w:spacing w:after="0"/>
              <w:rPr>
                <w:sz w:val="8"/>
                <w:szCs w:val="8"/>
                <w:color w:val="auto"/>
              </w:rPr>
            </w:pPr>
          </w:p>
        </w:tc>
        <w:tc>
          <w:tcPr>
            <w:tcW w:w="2980" w:type="dxa"/>
            <w:vAlign w:val="bottom"/>
          </w:tcPr>
          <w:p>
            <w:pPr>
              <w:ind w:left="100"/>
              <w:spacing w:after="0" w:line="94" w:lineRule="exact"/>
              <w:rPr>
                <w:sz w:val="20"/>
                <w:szCs w:val="20"/>
                <w:color w:val="auto"/>
              </w:rPr>
            </w:pPr>
            <w:r>
              <w:rPr>
                <w:rFonts w:ascii="Times New Roman" w:cs="Times New Roman" w:eastAsia="Times New Roman" w:hAnsi="Times New Roman"/>
                <w:sz w:val="9"/>
                <w:szCs w:val="9"/>
                <w:color w:val="auto"/>
              </w:rPr>
              <w:t>Other operating expenses</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(1,872)</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4%</w:t>
            </w:r>
          </w:p>
        </w:tc>
        <w:tc>
          <w:tcPr>
            <w:tcW w:w="10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(1,860)</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3%</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(6,339)</w:t>
            </w:r>
          </w:p>
        </w:tc>
        <w:tc>
          <w:tcPr>
            <w:tcW w:w="40" w:type="dxa"/>
            <w:vAlign w:val="bottom"/>
          </w:tcPr>
          <w:p>
            <w:pPr>
              <w:spacing w:after="0"/>
              <w:rPr>
                <w:sz w:val="8"/>
                <w:szCs w:val="8"/>
                <w:color w:val="auto"/>
              </w:rPr>
            </w:pPr>
          </w:p>
        </w:tc>
        <w:tc>
          <w:tcPr>
            <w:tcW w:w="56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4%</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(6,078)</w:t>
            </w:r>
          </w:p>
        </w:tc>
        <w:tc>
          <w:tcPr>
            <w:tcW w:w="54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4%</w:t>
            </w:r>
          </w:p>
        </w:tc>
        <w:tc>
          <w:tcPr>
            <w:tcW w:w="80" w:type="dxa"/>
            <w:vAlign w:val="bottom"/>
          </w:tcPr>
          <w:p>
            <w:pPr>
              <w:spacing w:after="0"/>
              <w:rPr>
                <w:sz w:val="8"/>
                <w:szCs w:val="8"/>
                <w:color w:val="auto"/>
              </w:rPr>
            </w:pPr>
          </w:p>
        </w:tc>
        <w:tc>
          <w:tcPr>
            <w:tcW w:w="76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(1)%</w:t>
            </w:r>
          </w:p>
        </w:tc>
        <w:tc>
          <w:tcPr>
            <w:tcW w:w="560" w:type="dxa"/>
            <w:vAlign w:val="bottom"/>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(4)%</w:t>
            </w:r>
          </w:p>
        </w:tc>
        <w:tc>
          <w:tcPr>
            <w:tcW w:w="0" w:type="dxa"/>
            <w:vAlign w:val="bottom"/>
          </w:tcPr>
          <w:p>
            <w:pPr>
              <w:spacing w:after="0"/>
              <w:rPr>
                <w:sz w:val="1"/>
                <w:szCs w:val="1"/>
                <w:color w:val="auto"/>
              </w:rPr>
            </w:pPr>
          </w:p>
        </w:tc>
      </w:tr>
      <w:tr>
        <w:trPr>
          <w:trHeight w:val="82"/>
        </w:trPr>
        <w:tc>
          <w:tcPr>
            <w:tcW w:w="1200" w:type="dxa"/>
            <w:vAlign w:val="bottom"/>
            <w:tcBorders>
              <w:top w:val="single" w:sz="8" w:color="CCEEFF"/>
            </w:tcBorders>
            <w:shd w:val="clear" w:color="auto" w:fill="CCEEFF"/>
          </w:tcPr>
          <w:p>
            <w:pPr>
              <w:spacing w:after="0"/>
              <w:rPr>
                <w:sz w:val="7"/>
                <w:szCs w:val="7"/>
                <w:color w:val="auto"/>
              </w:rPr>
            </w:pPr>
          </w:p>
        </w:tc>
        <w:tc>
          <w:tcPr>
            <w:tcW w:w="29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(23,477)</w:t>
            </w:r>
          </w:p>
        </w:tc>
        <w:tc>
          <w:tcPr>
            <w:tcW w:w="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48%</w:t>
            </w: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(27,001)</w:t>
            </w:r>
          </w:p>
        </w:tc>
        <w:tc>
          <w:tcPr>
            <w:tcW w:w="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48%</w:t>
            </w: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(69,149)</w:t>
            </w:r>
          </w:p>
        </w:tc>
        <w:tc>
          <w:tcPr>
            <w:tcW w:w="4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49%</w:t>
            </w: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tcBorders>
              <w:top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(73,757)</w:t>
            </w:r>
          </w:p>
        </w:tc>
        <w:tc>
          <w:tcPr>
            <w:tcW w:w="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CCEEFF"/>
            </w:tcBorders>
            <w:shd w:val="clear" w:color="auto" w:fill="CCEEFF"/>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52%</w:t>
            </w:r>
          </w:p>
        </w:tc>
        <w:tc>
          <w:tcPr>
            <w:tcW w:w="8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jc w:val="right"/>
              <w:ind w:right="37"/>
              <w:spacing w:after="0" w:line="83" w:lineRule="exact"/>
              <w:rPr>
                <w:sz w:val="20"/>
                <w:szCs w:val="20"/>
                <w:color w:val="auto"/>
              </w:rPr>
            </w:pPr>
            <w:r>
              <w:rPr>
                <w:rFonts w:ascii="Times New Roman" w:cs="Times New Roman" w:eastAsia="Times New Roman" w:hAnsi="Times New Roman"/>
                <w:sz w:val="9"/>
                <w:szCs w:val="9"/>
                <w:b w:val="1"/>
                <w:bCs w:val="1"/>
                <w:color w:val="auto"/>
              </w:rPr>
              <w:t>13%</w:t>
            </w:r>
          </w:p>
        </w:tc>
        <w:tc>
          <w:tcPr>
            <w:tcW w:w="560" w:type="dxa"/>
            <w:vAlign w:val="bottom"/>
            <w:tcBorders>
              <w:top w:val="single" w:sz="8" w:color="CCEEFF"/>
            </w:tcBorders>
            <w:shd w:val="clear" w:color="auto" w:fill="CCEEFF"/>
          </w:tcPr>
          <w:p>
            <w:pPr>
              <w:jc w:val="right"/>
              <w:ind w:right="17"/>
              <w:spacing w:after="0" w:line="83" w:lineRule="exact"/>
              <w:rPr>
                <w:sz w:val="20"/>
                <w:szCs w:val="20"/>
                <w:color w:val="auto"/>
              </w:rPr>
            </w:pPr>
            <w:r>
              <w:rPr>
                <w:rFonts w:ascii="Times New Roman" w:cs="Times New Roman" w:eastAsia="Times New Roman" w:hAnsi="Times New Roman"/>
                <w:sz w:val="9"/>
                <w:szCs w:val="9"/>
                <w:b w:val="1"/>
                <w:bCs w:val="1"/>
                <w:color w:val="auto"/>
              </w:rPr>
              <w:t>6%</w:t>
            </w:r>
          </w:p>
        </w:tc>
        <w:tc>
          <w:tcPr>
            <w:tcW w:w="0" w:type="dxa"/>
            <w:vAlign w:val="bottom"/>
          </w:tcPr>
          <w:p>
            <w:pPr>
              <w:spacing w:after="0"/>
              <w:rPr>
                <w:sz w:val="1"/>
                <w:szCs w:val="1"/>
                <w:color w:val="auto"/>
              </w:rPr>
            </w:pPr>
          </w:p>
        </w:tc>
      </w:tr>
      <w:tr>
        <w:trPr>
          <w:trHeight w:val="93"/>
        </w:trPr>
        <w:tc>
          <w:tcPr>
            <w:tcW w:w="12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Australia</w:t>
            </w:r>
          </w:p>
        </w:tc>
        <w:tc>
          <w:tcPr>
            <w:tcW w:w="298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Film rent and advertising cost</w:t>
            </w:r>
          </w:p>
        </w:tc>
        <w:tc>
          <w:tcPr>
            <w:tcW w:w="180" w:type="dxa"/>
            <w:vAlign w:val="bottom"/>
            <w:gridSpan w:val="2"/>
            <w:shd w:val="clear" w:color="auto" w:fill="CCEEFF"/>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(5,484)</w:t>
            </w: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11%</w:t>
            </w:r>
          </w:p>
        </w:tc>
        <w:tc>
          <w:tcPr>
            <w:tcW w:w="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(6,775)</w:t>
            </w: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12%</w:t>
            </w:r>
          </w:p>
        </w:tc>
        <w:tc>
          <w:tcPr>
            <w:tcW w:w="180" w:type="dxa"/>
            <w:vAlign w:val="bottom"/>
            <w:gridSpan w:val="2"/>
            <w:shd w:val="clear" w:color="auto" w:fill="CCEEFF"/>
          </w:tcPr>
          <w:p>
            <w:pPr>
              <w:jc w:val="right"/>
              <w:ind w:right="53"/>
              <w:spacing w:after="0" w:line="94" w:lineRule="exact"/>
              <w:rPr>
                <w:sz w:val="20"/>
                <w:szCs w:val="20"/>
                <w:color w:val="auto"/>
              </w:rPr>
            </w:pPr>
            <w:r>
              <w:rPr>
                <w:rFonts w:ascii="Times New Roman" w:cs="Times New Roman" w:eastAsia="Times New Roman" w:hAnsi="Times New Roman"/>
                <w:sz w:val="9"/>
                <w:szCs w:val="9"/>
                <w:color w:val="auto"/>
              </w:rPr>
              <w:t>$</w:t>
            </w:r>
          </w:p>
        </w:tc>
        <w:tc>
          <w:tcPr>
            <w:tcW w:w="760" w:type="dxa"/>
            <w:vAlign w:val="bottom"/>
            <w:gridSpan w:val="2"/>
            <w:shd w:val="clear" w:color="auto" w:fill="CCEEFF"/>
          </w:tcPr>
          <w:p>
            <w:pPr>
              <w:jc w:val="right"/>
              <w:ind w:right="40"/>
              <w:spacing w:after="0" w:line="94" w:lineRule="exact"/>
              <w:rPr>
                <w:sz w:val="20"/>
                <w:szCs w:val="20"/>
                <w:color w:val="auto"/>
              </w:rPr>
            </w:pPr>
            <w:r>
              <w:rPr>
                <w:rFonts w:ascii="Times New Roman" w:cs="Times New Roman" w:eastAsia="Times New Roman" w:hAnsi="Times New Roman"/>
                <w:sz w:val="9"/>
                <w:szCs w:val="9"/>
                <w:color w:val="auto"/>
              </w:rPr>
              <w:t>(16,026)</w:t>
            </w:r>
          </w:p>
        </w:tc>
        <w:tc>
          <w:tcPr>
            <w:tcW w:w="56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84"/>
              </w:rPr>
              <w:t>11%</w:t>
            </w:r>
          </w:p>
        </w:tc>
        <w:tc>
          <w:tcPr>
            <w:tcW w:w="120" w:type="dxa"/>
            <w:vAlign w:val="bottom"/>
            <w:gridSpan w:val="2"/>
            <w:shd w:val="clear" w:color="auto" w:fill="CCEEFF"/>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w w:val="87"/>
              </w:rPr>
              <w:t>$</w:t>
            </w:r>
          </w:p>
        </w:tc>
        <w:tc>
          <w:tcPr>
            <w:tcW w:w="76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(16,170)</w:t>
            </w:r>
          </w:p>
        </w:tc>
        <w:tc>
          <w:tcPr>
            <w:tcW w:w="54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12%</w:t>
            </w: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19%</w:t>
            </w:r>
          </w:p>
        </w:tc>
        <w:tc>
          <w:tcPr>
            <w:tcW w:w="56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93"/>
        </w:trPr>
        <w:tc>
          <w:tcPr>
            <w:tcW w:w="1200" w:type="dxa"/>
            <w:vAlign w:val="bottom"/>
          </w:tcPr>
          <w:p>
            <w:pPr>
              <w:spacing w:after="0"/>
              <w:rPr>
                <w:sz w:val="8"/>
                <w:szCs w:val="8"/>
                <w:color w:val="auto"/>
              </w:rPr>
            </w:pPr>
          </w:p>
        </w:tc>
        <w:tc>
          <w:tcPr>
            <w:tcW w:w="2980" w:type="dxa"/>
            <w:vAlign w:val="bottom"/>
          </w:tcPr>
          <w:p>
            <w:pPr>
              <w:ind w:left="100"/>
              <w:spacing w:after="0" w:line="94" w:lineRule="exact"/>
              <w:rPr>
                <w:sz w:val="20"/>
                <w:szCs w:val="20"/>
                <w:color w:val="auto"/>
              </w:rPr>
            </w:pPr>
            <w:r>
              <w:rPr>
                <w:rFonts w:ascii="Times New Roman" w:cs="Times New Roman" w:eastAsia="Times New Roman" w:hAnsi="Times New Roman"/>
                <w:sz w:val="9"/>
                <w:szCs w:val="9"/>
                <w:color w:val="auto"/>
              </w:rPr>
              <w:t>Food &amp; beverage cost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(1,328)</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3%</w:t>
            </w:r>
          </w:p>
        </w:tc>
        <w:tc>
          <w:tcPr>
            <w:tcW w:w="10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(1,922)</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3%</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(3,934)</w:t>
            </w:r>
          </w:p>
        </w:tc>
        <w:tc>
          <w:tcPr>
            <w:tcW w:w="40" w:type="dxa"/>
            <w:vAlign w:val="bottom"/>
          </w:tcPr>
          <w:p>
            <w:pPr>
              <w:spacing w:after="0"/>
              <w:rPr>
                <w:sz w:val="8"/>
                <w:szCs w:val="8"/>
                <w:color w:val="auto"/>
              </w:rPr>
            </w:pPr>
          </w:p>
        </w:tc>
        <w:tc>
          <w:tcPr>
            <w:tcW w:w="56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3%</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(4,631)</w:t>
            </w:r>
          </w:p>
        </w:tc>
        <w:tc>
          <w:tcPr>
            <w:tcW w:w="54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3%</w:t>
            </w:r>
          </w:p>
        </w:tc>
        <w:tc>
          <w:tcPr>
            <w:tcW w:w="80" w:type="dxa"/>
            <w:vAlign w:val="bottom"/>
          </w:tcPr>
          <w:p>
            <w:pPr>
              <w:spacing w:after="0"/>
              <w:rPr>
                <w:sz w:val="8"/>
                <w:szCs w:val="8"/>
                <w:color w:val="auto"/>
              </w:rPr>
            </w:pPr>
          </w:p>
        </w:tc>
        <w:tc>
          <w:tcPr>
            <w:tcW w:w="76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31%</w:t>
            </w:r>
          </w:p>
        </w:tc>
        <w:tc>
          <w:tcPr>
            <w:tcW w:w="560" w:type="dxa"/>
            <w:vAlign w:val="bottom"/>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15%</w:t>
            </w: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spacing w:after="0"/>
              <w:rPr>
                <w:sz w:val="8"/>
                <w:szCs w:val="8"/>
                <w:color w:val="auto"/>
              </w:rPr>
            </w:pPr>
          </w:p>
        </w:tc>
        <w:tc>
          <w:tcPr>
            <w:tcW w:w="298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Occupancy expense</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(4,415)</w:t>
            </w: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9%</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(4,673)</w:t>
            </w: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8%</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40"/>
              <w:spacing w:after="0" w:line="94" w:lineRule="exact"/>
              <w:rPr>
                <w:sz w:val="20"/>
                <w:szCs w:val="20"/>
                <w:color w:val="auto"/>
              </w:rPr>
            </w:pPr>
            <w:r>
              <w:rPr>
                <w:rFonts w:ascii="Times New Roman" w:cs="Times New Roman" w:eastAsia="Times New Roman" w:hAnsi="Times New Roman"/>
                <w:sz w:val="9"/>
                <w:szCs w:val="9"/>
                <w:color w:val="auto"/>
              </w:rPr>
              <w:t>(13,221)</w:t>
            </w:r>
          </w:p>
        </w:tc>
        <w:tc>
          <w:tcPr>
            <w:tcW w:w="56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9%</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(13,612)</w:t>
            </w:r>
          </w:p>
        </w:tc>
        <w:tc>
          <w:tcPr>
            <w:tcW w:w="54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10%</w:t>
            </w: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117"/>
              <w:spacing w:after="0" w:line="94" w:lineRule="exact"/>
              <w:rPr>
                <w:sz w:val="20"/>
                <w:szCs w:val="20"/>
                <w:color w:val="auto"/>
              </w:rPr>
            </w:pPr>
            <w:r>
              <w:rPr>
                <w:rFonts w:ascii="Times New Roman" w:cs="Times New Roman" w:eastAsia="Times New Roman" w:hAnsi="Times New Roman"/>
                <w:sz w:val="9"/>
                <w:szCs w:val="9"/>
                <w:color w:val="auto"/>
              </w:rPr>
              <w:t>6</w:t>
            </w:r>
          </w:p>
        </w:tc>
        <w:tc>
          <w:tcPr>
            <w:tcW w:w="56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3%</w:t>
            </w:r>
          </w:p>
        </w:tc>
        <w:tc>
          <w:tcPr>
            <w:tcW w:w="0" w:type="dxa"/>
            <w:vAlign w:val="bottom"/>
          </w:tcPr>
          <w:p>
            <w:pPr>
              <w:spacing w:after="0"/>
              <w:rPr>
                <w:sz w:val="1"/>
                <w:szCs w:val="1"/>
                <w:color w:val="auto"/>
              </w:rPr>
            </w:pPr>
          </w:p>
        </w:tc>
      </w:tr>
      <w:tr>
        <w:trPr>
          <w:trHeight w:val="93"/>
        </w:trPr>
        <w:tc>
          <w:tcPr>
            <w:tcW w:w="1200" w:type="dxa"/>
            <w:vAlign w:val="bottom"/>
          </w:tcPr>
          <w:p>
            <w:pPr>
              <w:spacing w:after="0"/>
              <w:rPr>
                <w:sz w:val="8"/>
                <w:szCs w:val="8"/>
                <w:color w:val="auto"/>
              </w:rPr>
            </w:pPr>
          </w:p>
        </w:tc>
        <w:tc>
          <w:tcPr>
            <w:tcW w:w="2980" w:type="dxa"/>
            <w:vAlign w:val="bottom"/>
          </w:tcPr>
          <w:p>
            <w:pPr>
              <w:ind w:left="100"/>
              <w:spacing w:after="0" w:line="94" w:lineRule="exact"/>
              <w:rPr>
                <w:sz w:val="20"/>
                <w:szCs w:val="20"/>
                <w:color w:val="auto"/>
              </w:rPr>
            </w:pPr>
            <w:r>
              <w:rPr>
                <w:rFonts w:ascii="Times New Roman" w:cs="Times New Roman" w:eastAsia="Times New Roman" w:hAnsi="Times New Roman"/>
                <w:sz w:val="9"/>
                <w:szCs w:val="9"/>
                <w:color w:val="auto"/>
              </w:rPr>
              <w:t>Labor cost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(3,377)</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7%</w:t>
            </w:r>
          </w:p>
        </w:tc>
        <w:tc>
          <w:tcPr>
            <w:tcW w:w="10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(3,794)</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7%</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tcPr>
          <w:p>
            <w:pPr>
              <w:jc w:val="right"/>
              <w:ind w:right="40"/>
              <w:spacing w:after="0" w:line="94" w:lineRule="exact"/>
              <w:rPr>
                <w:sz w:val="20"/>
                <w:szCs w:val="20"/>
                <w:color w:val="auto"/>
              </w:rPr>
            </w:pPr>
            <w:r>
              <w:rPr>
                <w:rFonts w:ascii="Times New Roman" w:cs="Times New Roman" w:eastAsia="Times New Roman" w:hAnsi="Times New Roman"/>
                <w:sz w:val="9"/>
                <w:szCs w:val="9"/>
                <w:color w:val="auto"/>
              </w:rPr>
              <w:t>(10,108)</w:t>
            </w:r>
          </w:p>
        </w:tc>
        <w:tc>
          <w:tcPr>
            <w:tcW w:w="56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7%</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(10,510)</w:t>
            </w:r>
          </w:p>
        </w:tc>
        <w:tc>
          <w:tcPr>
            <w:tcW w:w="54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7%</w:t>
            </w:r>
          </w:p>
        </w:tc>
        <w:tc>
          <w:tcPr>
            <w:tcW w:w="80" w:type="dxa"/>
            <w:vAlign w:val="bottom"/>
          </w:tcPr>
          <w:p>
            <w:pPr>
              <w:spacing w:after="0"/>
              <w:rPr>
                <w:sz w:val="8"/>
                <w:szCs w:val="8"/>
                <w:color w:val="auto"/>
              </w:rPr>
            </w:pPr>
          </w:p>
        </w:tc>
        <w:tc>
          <w:tcPr>
            <w:tcW w:w="760" w:type="dxa"/>
            <w:vAlign w:val="bottom"/>
          </w:tcPr>
          <w:p>
            <w:pPr>
              <w:jc w:val="right"/>
              <w:ind w:right="117"/>
              <w:spacing w:after="0" w:line="94" w:lineRule="exact"/>
              <w:rPr>
                <w:sz w:val="20"/>
                <w:szCs w:val="20"/>
                <w:color w:val="auto"/>
              </w:rPr>
            </w:pPr>
            <w:r>
              <w:rPr>
                <w:rFonts w:ascii="Times New Roman" w:cs="Times New Roman" w:eastAsia="Times New Roman" w:hAnsi="Times New Roman"/>
                <w:sz w:val="9"/>
                <w:szCs w:val="9"/>
                <w:color w:val="auto"/>
              </w:rPr>
              <w:t>11</w:t>
            </w:r>
          </w:p>
        </w:tc>
        <w:tc>
          <w:tcPr>
            <w:tcW w:w="560" w:type="dxa"/>
            <w:vAlign w:val="bottom"/>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4%</w:t>
            </w: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spacing w:after="0"/>
              <w:rPr>
                <w:sz w:val="8"/>
                <w:szCs w:val="8"/>
                <w:color w:val="auto"/>
              </w:rPr>
            </w:pPr>
          </w:p>
        </w:tc>
        <w:tc>
          <w:tcPr>
            <w:tcW w:w="298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Utilities</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(815)</w:t>
            </w: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(719)</w:t>
            </w: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(2,308)</w:t>
            </w: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(2,171)</w:t>
            </w:r>
          </w:p>
        </w:tc>
        <w:tc>
          <w:tcPr>
            <w:tcW w:w="54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117"/>
              <w:spacing w:after="0" w:line="94" w:lineRule="exact"/>
              <w:rPr>
                <w:sz w:val="20"/>
                <w:szCs w:val="20"/>
                <w:color w:val="auto"/>
              </w:rPr>
            </w:pPr>
            <w:r>
              <w:rPr>
                <w:rFonts w:ascii="Times New Roman" w:cs="Times New Roman" w:eastAsia="Times New Roman" w:hAnsi="Times New Roman"/>
                <w:sz w:val="9"/>
                <w:szCs w:val="9"/>
                <w:color w:val="auto"/>
              </w:rPr>
              <w:t>(13)</w:t>
            </w:r>
          </w:p>
        </w:tc>
        <w:tc>
          <w:tcPr>
            <w:tcW w:w="56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(6)%</w:t>
            </w:r>
          </w:p>
        </w:tc>
        <w:tc>
          <w:tcPr>
            <w:tcW w:w="0" w:type="dxa"/>
            <w:vAlign w:val="bottom"/>
          </w:tcPr>
          <w:p>
            <w:pPr>
              <w:spacing w:after="0"/>
              <w:rPr>
                <w:sz w:val="1"/>
                <w:szCs w:val="1"/>
                <w:color w:val="auto"/>
              </w:rPr>
            </w:pPr>
          </w:p>
        </w:tc>
      </w:tr>
      <w:tr>
        <w:trPr>
          <w:trHeight w:val="93"/>
        </w:trPr>
        <w:tc>
          <w:tcPr>
            <w:tcW w:w="1200" w:type="dxa"/>
            <w:vAlign w:val="bottom"/>
          </w:tcPr>
          <w:p>
            <w:pPr>
              <w:spacing w:after="0"/>
              <w:rPr>
                <w:sz w:val="8"/>
                <w:szCs w:val="8"/>
                <w:color w:val="auto"/>
              </w:rPr>
            </w:pPr>
          </w:p>
        </w:tc>
        <w:tc>
          <w:tcPr>
            <w:tcW w:w="2980" w:type="dxa"/>
            <w:vAlign w:val="bottom"/>
          </w:tcPr>
          <w:p>
            <w:pPr>
              <w:ind w:left="100"/>
              <w:spacing w:after="0" w:line="94" w:lineRule="exact"/>
              <w:rPr>
                <w:sz w:val="20"/>
                <w:szCs w:val="20"/>
                <w:color w:val="auto"/>
              </w:rPr>
            </w:pPr>
            <w:r>
              <w:rPr>
                <w:rFonts w:ascii="Times New Roman" w:cs="Times New Roman" w:eastAsia="Times New Roman" w:hAnsi="Times New Roman"/>
                <w:sz w:val="9"/>
                <w:szCs w:val="9"/>
                <w:color w:val="auto"/>
              </w:rPr>
              <w:t>Cleaning and maintenance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(1,163)</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10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(1,352)</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(3,466)</w:t>
            </w:r>
          </w:p>
        </w:tc>
        <w:tc>
          <w:tcPr>
            <w:tcW w:w="40" w:type="dxa"/>
            <w:vAlign w:val="bottom"/>
          </w:tcPr>
          <w:p>
            <w:pPr>
              <w:spacing w:after="0"/>
              <w:rPr>
                <w:sz w:val="8"/>
                <w:szCs w:val="8"/>
                <w:color w:val="auto"/>
              </w:rPr>
            </w:pPr>
          </w:p>
        </w:tc>
        <w:tc>
          <w:tcPr>
            <w:tcW w:w="56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(3,728)</w:t>
            </w:r>
          </w:p>
        </w:tc>
        <w:tc>
          <w:tcPr>
            <w:tcW w:w="54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3%</w:t>
            </w:r>
          </w:p>
        </w:tc>
        <w:tc>
          <w:tcPr>
            <w:tcW w:w="80" w:type="dxa"/>
            <w:vAlign w:val="bottom"/>
          </w:tcPr>
          <w:p>
            <w:pPr>
              <w:spacing w:after="0"/>
              <w:rPr>
                <w:sz w:val="8"/>
                <w:szCs w:val="8"/>
                <w:color w:val="auto"/>
              </w:rPr>
            </w:pPr>
          </w:p>
        </w:tc>
        <w:tc>
          <w:tcPr>
            <w:tcW w:w="760" w:type="dxa"/>
            <w:vAlign w:val="bottom"/>
          </w:tcPr>
          <w:p>
            <w:pPr>
              <w:jc w:val="right"/>
              <w:ind w:right="117"/>
              <w:spacing w:after="0" w:line="94" w:lineRule="exact"/>
              <w:rPr>
                <w:sz w:val="20"/>
                <w:szCs w:val="20"/>
                <w:color w:val="auto"/>
              </w:rPr>
            </w:pPr>
            <w:r>
              <w:rPr>
                <w:rFonts w:ascii="Times New Roman" w:cs="Times New Roman" w:eastAsia="Times New Roman" w:hAnsi="Times New Roman"/>
                <w:sz w:val="9"/>
                <w:szCs w:val="9"/>
                <w:color w:val="auto"/>
              </w:rPr>
              <w:t>14</w:t>
            </w:r>
          </w:p>
        </w:tc>
        <w:tc>
          <w:tcPr>
            <w:tcW w:w="560" w:type="dxa"/>
            <w:vAlign w:val="bottom"/>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7%</w:t>
            </w: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spacing w:after="0"/>
              <w:rPr>
                <w:sz w:val="8"/>
                <w:szCs w:val="8"/>
                <w:color w:val="auto"/>
              </w:rPr>
            </w:pPr>
          </w:p>
        </w:tc>
        <w:tc>
          <w:tcPr>
            <w:tcW w:w="298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Other operating expenses</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(903)</w:t>
            </w: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(966)</w:t>
            </w: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(2,477)</w:t>
            </w: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(2,747)</w:t>
            </w:r>
          </w:p>
        </w:tc>
        <w:tc>
          <w:tcPr>
            <w:tcW w:w="54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117"/>
              <w:spacing w:after="0" w:line="94" w:lineRule="exact"/>
              <w:rPr>
                <w:sz w:val="20"/>
                <w:szCs w:val="20"/>
                <w:color w:val="auto"/>
              </w:rPr>
            </w:pPr>
            <w:r>
              <w:rPr>
                <w:rFonts w:ascii="Times New Roman" w:cs="Times New Roman" w:eastAsia="Times New Roman" w:hAnsi="Times New Roman"/>
                <w:sz w:val="9"/>
                <w:szCs w:val="9"/>
                <w:color w:val="auto"/>
              </w:rPr>
              <w:t>7</w:t>
            </w:r>
          </w:p>
        </w:tc>
        <w:tc>
          <w:tcPr>
            <w:tcW w:w="56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10%</w:t>
            </w:r>
          </w:p>
        </w:tc>
        <w:tc>
          <w:tcPr>
            <w:tcW w:w="0" w:type="dxa"/>
            <w:vAlign w:val="bottom"/>
          </w:tcPr>
          <w:p>
            <w:pPr>
              <w:spacing w:after="0"/>
              <w:rPr>
                <w:sz w:val="1"/>
                <w:szCs w:val="1"/>
                <w:color w:val="auto"/>
              </w:rPr>
            </w:pPr>
          </w:p>
        </w:tc>
      </w:tr>
      <w:tr>
        <w:trPr>
          <w:trHeight w:val="82"/>
        </w:trPr>
        <w:tc>
          <w:tcPr>
            <w:tcW w:w="1200" w:type="dxa"/>
            <w:vAlign w:val="bottom"/>
          </w:tcPr>
          <w:p>
            <w:pPr>
              <w:spacing w:after="0"/>
              <w:rPr>
                <w:sz w:val="7"/>
                <w:szCs w:val="7"/>
                <w:color w:val="auto"/>
              </w:rPr>
            </w:pPr>
          </w:p>
        </w:tc>
        <w:tc>
          <w:tcPr>
            <w:tcW w:w="2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(17,485)</w:t>
            </w:r>
          </w:p>
        </w:tc>
        <w:tc>
          <w:tcPr>
            <w:tcW w:w="20" w:type="dxa"/>
            <w:vAlign w:val="bottom"/>
          </w:tcPr>
          <w:p>
            <w:pPr>
              <w:spacing w:after="0"/>
              <w:rPr>
                <w:sz w:val="7"/>
                <w:szCs w:val="7"/>
                <w:color w:val="auto"/>
              </w:rPr>
            </w:pPr>
          </w:p>
        </w:tc>
        <w:tc>
          <w:tcPr>
            <w:tcW w:w="52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36%</w:t>
            </w:r>
          </w:p>
        </w:tc>
        <w:tc>
          <w:tcPr>
            <w:tcW w:w="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(20,201)</w:t>
            </w:r>
          </w:p>
        </w:tc>
        <w:tc>
          <w:tcPr>
            <w:tcW w:w="20" w:type="dxa"/>
            <w:vAlign w:val="bottom"/>
          </w:tcPr>
          <w:p>
            <w:pPr>
              <w:spacing w:after="0"/>
              <w:rPr>
                <w:sz w:val="7"/>
                <w:szCs w:val="7"/>
                <w:color w:val="auto"/>
              </w:rPr>
            </w:pPr>
          </w:p>
        </w:tc>
        <w:tc>
          <w:tcPr>
            <w:tcW w:w="52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36%</w:t>
            </w:r>
          </w:p>
        </w:tc>
        <w:tc>
          <w:tcPr>
            <w:tcW w:w="60" w:type="dxa"/>
            <w:vAlign w:val="bottom"/>
          </w:tcPr>
          <w:p>
            <w:pPr>
              <w:spacing w:after="0"/>
              <w:rPr>
                <w:sz w:val="7"/>
                <w:szCs w:val="7"/>
                <w:color w:val="auto"/>
              </w:rPr>
            </w:pPr>
          </w:p>
        </w:tc>
        <w:tc>
          <w:tcPr>
            <w:tcW w:w="1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(51,540)</w:t>
            </w:r>
          </w:p>
        </w:tc>
        <w:tc>
          <w:tcPr>
            <w:tcW w:w="40" w:type="dxa"/>
            <w:vAlign w:val="bottom"/>
          </w:tcPr>
          <w:p>
            <w:pPr>
              <w:spacing w:after="0"/>
              <w:rPr>
                <w:sz w:val="7"/>
                <w:szCs w:val="7"/>
                <w:color w:val="auto"/>
              </w:rPr>
            </w:pPr>
          </w:p>
        </w:tc>
        <w:tc>
          <w:tcPr>
            <w:tcW w:w="56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36%</w:t>
            </w:r>
          </w:p>
        </w:tc>
        <w:tc>
          <w:tcPr>
            <w:tcW w:w="20" w:type="dxa"/>
            <w:vAlign w:val="bottom"/>
          </w:tcPr>
          <w:p>
            <w:pPr>
              <w:spacing w:after="0"/>
              <w:rPr>
                <w:sz w:val="7"/>
                <w:szCs w:val="7"/>
                <w:color w:val="auto"/>
              </w:rPr>
            </w:pPr>
          </w:p>
        </w:tc>
        <w:tc>
          <w:tcPr>
            <w:tcW w:w="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(53,569)</w:t>
            </w:r>
          </w:p>
        </w:tc>
        <w:tc>
          <w:tcPr>
            <w:tcW w:w="20" w:type="dxa"/>
            <w:vAlign w:val="bottom"/>
          </w:tcPr>
          <w:p>
            <w:pPr>
              <w:spacing w:after="0"/>
              <w:rPr>
                <w:sz w:val="7"/>
                <w:szCs w:val="7"/>
                <w:color w:val="auto"/>
              </w:rPr>
            </w:pPr>
          </w:p>
        </w:tc>
        <w:tc>
          <w:tcPr>
            <w:tcW w:w="54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38%</w:t>
            </w:r>
          </w:p>
        </w:tc>
        <w:tc>
          <w:tcPr>
            <w:tcW w:w="80" w:type="dxa"/>
            <w:vAlign w:val="bottom"/>
          </w:tcPr>
          <w:p>
            <w:pPr>
              <w:spacing w:after="0"/>
              <w:rPr>
                <w:sz w:val="7"/>
                <w:szCs w:val="7"/>
                <w:color w:val="auto"/>
              </w:rPr>
            </w:pPr>
          </w:p>
        </w:tc>
        <w:tc>
          <w:tcPr>
            <w:tcW w:w="760" w:type="dxa"/>
            <w:vAlign w:val="bottom"/>
          </w:tcPr>
          <w:p>
            <w:pPr>
              <w:jc w:val="right"/>
              <w:ind w:right="37"/>
              <w:spacing w:after="0" w:line="83" w:lineRule="exact"/>
              <w:rPr>
                <w:sz w:val="20"/>
                <w:szCs w:val="20"/>
                <w:color w:val="auto"/>
              </w:rPr>
            </w:pPr>
            <w:r>
              <w:rPr>
                <w:rFonts w:ascii="Times New Roman" w:cs="Times New Roman" w:eastAsia="Times New Roman" w:hAnsi="Times New Roman"/>
                <w:sz w:val="9"/>
                <w:szCs w:val="9"/>
                <w:b w:val="1"/>
                <w:bCs w:val="1"/>
                <w:color w:val="auto"/>
              </w:rPr>
              <w:t>13%</w:t>
            </w:r>
          </w:p>
        </w:tc>
        <w:tc>
          <w:tcPr>
            <w:tcW w:w="560" w:type="dxa"/>
            <w:vAlign w:val="bottom"/>
          </w:tcPr>
          <w:p>
            <w:pPr>
              <w:jc w:val="right"/>
              <w:ind w:right="17"/>
              <w:spacing w:after="0" w:line="83" w:lineRule="exact"/>
              <w:rPr>
                <w:sz w:val="20"/>
                <w:szCs w:val="20"/>
                <w:color w:val="auto"/>
              </w:rPr>
            </w:pPr>
            <w:r>
              <w:rPr>
                <w:rFonts w:ascii="Times New Roman" w:cs="Times New Roman" w:eastAsia="Times New Roman" w:hAnsi="Times New Roman"/>
                <w:sz w:val="9"/>
                <w:szCs w:val="9"/>
                <w:b w:val="1"/>
                <w:bCs w:val="1"/>
                <w:color w:val="auto"/>
              </w:rPr>
              <w:t>4%</w:t>
            </w: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spacing w:after="0"/>
              <w:rPr>
                <w:sz w:val="8"/>
                <w:szCs w:val="8"/>
                <w:color w:val="auto"/>
              </w:rPr>
            </w:pPr>
          </w:p>
        </w:tc>
        <w:tc>
          <w:tcPr>
            <w:tcW w:w="2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200" w:type="dxa"/>
            <w:vAlign w:val="bottom"/>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New Zealand</w:t>
            </w:r>
          </w:p>
        </w:tc>
        <w:tc>
          <w:tcPr>
            <w:tcW w:w="2980" w:type="dxa"/>
            <w:vAlign w:val="bottom"/>
          </w:tcPr>
          <w:p>
            <w:pPr>
              <w:ind w:left="100"/>
              <w:spacing w:after="0" w:line="94" w:lineRule="exact"/>
              <w:rPr>
                <w:sz w:val="20"/>
                <w:szCs w:val="20"/>
                <w:color w:val="auto"/>
              </w:rPr>
            </w:pPr>
            <w:r>
              <w:rPr>
                <w:rFonts w:ascii="Times New Roman" w:cs="Times New Roman" w:eastAsia="Times New Roman" w:hAnsi="Times New Roman"/>
                <w:sz w:val="9"/>
                <w:szCs w:val="9"/>
                <w:color w:val="auto"/>
              </w:rPr>
              <w:t>Film rent and advertising cost</w:t>
            </w:r>
          </w:p>
        </w:tc>
        <w:tc>
          <w:tcPr>
            <w:tcW w:w="180" w:type="dxa"/>
            <w:vAlign w:val="bottom"/>
            <w:gridSpan w:val="2"/>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rPr>
              <w:t>$</w:t>
            </w:r>
          </w:p>
        </w:tc>
        <w:tc>
          <w:tcPr>
            <w:tcW w:w="74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(803)</w:t>
            </w: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(1,048)</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180" w:type="dxa"/>
            <w:vAlign w:val="bottom"/>
            <w:gridSpan w:val="2"/>
          </w:tcPr>
          <w:p>
            <w:pPr>
              <w:jc w:val="right"/>
              <w:ind w:right="53"/>
              <w:spacing w:after="0" w:line="94"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(2,592)</w:t>
            </w:r>
          </w:p>
        </w:tc>
        <w:tc>
          <w:tcPr>
            <w:tcW w:w="40" w:type="dxa"/>
            <w:vAlign w:val="bottom"/>
          </w:tcPr>
          <w:p>
            <w:pPr>
              <w:spacing w:after="0"/>
              <w:rPr>
                <w:sz w:val="8"/>
                <w:szCs w:val="8"/>
                <w:color w:val="auto"/>
              </w:rPr>
            </w:pPr>
          </w:p>
        </w:tc>
        <w:tc>
          <w:tcPr>
            <w:tcW w:w="56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120" w:type="dxa"/>
            <w:vAlign w:val="bottom"/>
            <w:gridSpan w:val="2"/>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w w:val="87"/>
              </w:rPr>
              <w:t>$</w:t>
            </w:r>
          </w:p>
        </w:tc>
        <w:tc>
          <w:tcPr>
            <w:tcW w:w="76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(2,482)</w:t>
            </w:r>
          </w:p>
        </w:tc>
        <w:tc>
          <w:tcPr>
            <w:tcW w:w="54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80" w:type="dxa"/>
            <w:vAlign w:val="bottom"/>
          </w:tcPr>
          <w:p>
            <w:pPr>
              <w:spacing w:after="0"/>
              <w:rPr>
                <w:sz w:val="8"/>
                <w:szCs w:val="8"/>
                <w:color w:val="auto"/>
              </w:rPr>
            </w:pPr>
          </w:p>
        </w:tc>
        <w:tc>
          <w:tcPr>
            <w:tcW w:w="76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23%</w:t>
            </w:r>
          </w:p>
        </w:tc>
        <w:tc>
          <w:tcPr>
            <w:tcW w:w="560" w:type="dxa"/>
            <w:vAlign w:val="bottom"/>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(4)%</w:t>
            </w: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spacing w:after="0"/>
              <w:rPr>
                <w:sz w:val="8"/>
                <w:szCs w:val="8"/>
                <w:color w:val="auto"/>
              </w:rPr>
            </w:pPr>
          </w:p>
        </w:tc>
        <w:tc>
          <w:tcPr>
            <w:tcW w:w="298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Food &amp; beverage cost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(159)</w:t>
            </w: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(273)</w:t>
            </w: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(575)</w:t>
            </w: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(703)</w:t>
            </w:r>
          </w:p>
        </w:tc>
        <w:tc>
          <w:tcPr>
            <w:tcW w:w="54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117"/>
              <w:spacing w:after="0" w:line="94" w:lineRule="exact"/>
              <w:rPr>
                <w:sz w:val="20"/>
                <w:szCs w:val="20"/>
                <w:color w:val="auto"/>
              </w:rPr>
            </w:pPr>
            <w:r>
              <w:rPr>
                <w:rFonts w:ascii="Times New Roman" w:cs="Times New Roman" w:eastAsia="Times New Roman" w:hAnsi="Times New Roman"/>
                <w:sz w:val="9"/>
                <w:szCs w:val="9"/>
                <w:color w:val="auto"/>
              </w:rPr>
              <w:t>42</w:t>
            </w:r>
          </w:p>
        </w:tc>
        <w:tc>
          <w:tcPr>
            <w:tcW w:w="56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18%</w:t>
            </w:r>
          </w:p>
        </w:tc>
        <w:tc>
          <w:tcPr>
            <w:tcW w:w="0" w:type="dxa"/>
            <w:vAlign w:val="bottom"/>
          </w:tcPr>
          <w:p>
            <w:pPr>
              <w:spacing w:after="0"/>
              <w:rPr>
                <w:sz w:val="1"/>
                <w:szCs w:val="1"/>
                <w:color w:val="auto"/>
              </w:rPr>
            </w:pPr>
          </w:p>
        </w:tc>
      </w:tr>
      <w:tr>
        <w:trPr>
          <w:trHeight w:val="93"/>
        </w:trPr>
        <w:tc>
          <w:tcPr>
            <w:tcW w:w="1200" w:type="dxa"/>
            <w:vAlign w:val="bottom"/>
          </w:tcPr>
          <w:p>
            <w:pPr>
              <w:spacing w:after="0"/>
              <w:rPr>
                <w:sz w:val="8"/>
                <w:szCs w:val="8"/>
                <w:color w:val="auto"/>
              </w:rPr>
            </w:pPr>
          </w:p>
        </w:tc>
        <w:tc>
          <w:tcPr>
            <w:tcW w:w="2980" w:type="dxa"/>
            <w:vAlign w:val="bottom"/>
          </w:tcPr>
          <w:p>
            <w:pPr>
              <w:ind w:left="100"/>
              <w:spacing w:after="0" w:line="94" w:lineRule="exact"/>
              <w:rPr>
                <w:sz w:val="20"/>
                <w:szCs w:val="20"/>
                <w:color w:val="auto"/>
              </w:rPr>
            </w:pPr>
            <w:r>
              <w:rPr>
                <w:rFonts w:ascii="Times New Roman" w:cs="Times New Roman" w:eastAsia="Times New Roman" w:hAnsi="Times New Roman"/>
                <w:sz w:val="9"/>
                <w:szCs w:val="9"/>
                <w:color w:val="auto"/>
              </w:rPr>
              <w:t>Occupancy expense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(746)</w:t>
            </w: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10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(804)</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(2,216)</w:t>
            </w:r>
          </w:p>
        </w:tc>
        <w:tc>
          <w:tcPr>
            <w:tcW w:w="40" w:type="dxa"/>
            <w:vAlign w:val="bottom"/>
          </w:tcPr>
          <w:p>
            <w:pPr>
              <w:spacing w:after="0"/>
              <w:rPr>
                <w:sz w:val="8"/>
                <w:szCs w:val="8"/>
                <w:color w:val="auto"/>
              </w:rPr>
            </w:pPr>
          </w:p>
        </w:tc>
        <w:tc>
          <w:tcPr>
            <w:tcW w:w="56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(2,347)</w:t>
            </w:r>
          </w:p>
        </w:tc>
        <w:tc>
          <w:tcPr>
            <w:tcW w:w="54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80" w:type="dxa"/>
            <w:vAlign w:val="bottom"/>
          </w:tcPr>
          <w:p>
            <w:pPr>
              <w:spacing w:after="0"/>
              <w:rPr>
                <w:sz w:val="8"/>
                <w:szCs w:val="8"/>
                <w:color w:val="auto"/>
              </w:rPr>
            </w:pPr>
          </w:p>
        </w:tc>
        <w:tc>
          <w:tcPr>
            <w:tcW w:w="760" w:type="dxa"/>
            <w:vAlign w:val="bottom"/>
          </w:tcPr>
          <w:p>
            <w:pPr>
              <w:jc w:val="right"/>
              <w:ind w:right="117"/>
              <w:spacing w:after="0" w:line="94" w:lineRule="exact"/>
              <w:rPr>
                <w:sz w:val="20"/>
                <w:szCs w:val="20"/>
                <w:color w:val="auto"/>
              </w:rPr>
            </w:pPr>
            <w:r>
              <w:rPr>
                <w:rFonts w:ascii="Times New Roman" w:cs="Times New Roman" w:eastAsia="Times New Roman" w:hAnsi="Times New Roman"/>
                <w:sz w:val="9"/>
                <w:szCs w:val="9"/>
                <w:color w:val="auto"/>
              </w:rPr>
              <w:t>7</w:t>
            </w:r>
          </w:p>
        </w:tc>
        <w:tc>
          <w:tcPr>
            <w:tcW w:w="560" w:type="dxa"/>
            <w:vAlign w:val="bottom"/>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6%</w:t>
            </w: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spacing w:after="0"/>
              <w:rPr>
                <w:sz w:val="8"/>
                <w:szCs w:val="8"/>
                <w:color w:val="auto"/>
              </w:rPr>
            </w:pPr>
          </w:p>
        </w:tc>
        <w:tc>
          <w:tcPr>
            <w:tcW w:w="298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Labor cost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(504)</w:t>
            </w: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(631)</w:t>
            </w: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(1,617)</w:t>
            </w: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(1,786)</w:t>
            </w:r>
          </w:p>
        </w:tc>
        <w:tc>
          <w:tcPr>
            <w:tcW w:w="54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117"/>
              <w:spacing w:after="0" w:line="94" w:lineRule="exact"/>
              <w:rPr>
                <w:sz w:val="20"/>
                <w:szCs w:val="20"/>
                <w:color w:val="auto"/>
              </w:rPr>
            </w:pPr>
            <w:r>
              <w:rPr>
                <w:rFonts w:ascii="Times New Roman" w:cs="Times New Roman" w:eastAsia="Times New Roman" w:hAnsi="Times New Roman"/>
                <w:sz w:val="9"/>
                <w:szCs w:val="9"/>
                <w:color w:val="auto"/>
              </w:rPr>
              <w:t>20</w:t>
            </w:r>
          </w:p>
        </w:tc>
        <w:tc>
          <w:tcPr>
            <w:tcW w:w="56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9%</w:t>
            </w:r>
          </w:p>
        </w:tc>
        <w:tc>
          <w:tcPr>
            <w:tcW w:w="0" w:type="dxa"/>
            <w:vAlign w:val="bottom"/>
          </w:tcPr>
          <w:p>
            <w:pPr>
              <w:spacing w:after="0"/>
              <w:rPr>
                <w:sz w:val="1"/>
                <w:szCs w:val="1"/>
                <w:color w:val="auto"/>
              </w:rPr>
            </w:pPr>
          </w:p>
        </w:tc>
      </w:tr>
      <w:tr>
        <w:trPr>
          <w:trHeight w:val="93"/>
        </w:trPr>
        <w:tc>
          <w:tcPr>
            <w:tcW w:w="1200" w:type="dxa"/>
            <w:vAlign w:val="bottom"/>
          </w:tcPr>
          <w:p>
            <w:pPr>
              <w:spacing w:after="0"/>
              <w:rPr>
                <w:sz w:val="8"/>
                <w:szCs w:val="8"/>
                <w:color w:val="auto"/>
              </w:rPr>
            </w:pPr>
          </w:p>
        </w:tc>
        <w:tc>
          <w:tcPr>
            <w:tcW w:w="2980" w:type="dxa"/>
            <w:vAlign w:val="bottom"/>
          </w:tcPr>
          <w:p>
            <w:pPr>
              <w:ind w:left="100"/>
              <w:spacing w:after="0" w:line="94" w:lineRule="exact"/>
              <w:rPr>
                <w:sz w:val="20"/>
                <w:szCs w:val="20"/>
                <w:color w:val="auto"/>
              </w:rPr>
            </w:pPr>
            <w:r>
              <w:rPr>
                <w:rFonts w:ascii="Times New Roman" w:cs="Times New Roman" w:eastAsia="Times New Roman" w:hAnsi="Times New Roman"/>
                <w:sz w:val="9"/>
                <w:szCs w:val="9"/>
                <w:color w:val="auto"/>
              </w:rPr>
              <w:t>Utilities</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(173)</w:t>
            </w: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10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(114)</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(407)</w:t>
            </w:r>
          </w:p>
        </w:tc>
        <w:tc>
          <w:tcPr>
            <w:tcW w:w="40" w:type="dxa"/>
            <w:vAlign w:val="bottom"/>
          </w:tcPr>
          <w:p>
            <w:pPr>
              <w:spacing w:after="0"/>
              <w:rPr>
                <w:sz w:val="8"/>
                <w:szCs w:val="8"/>
                <w:color w:val="auto"/>
              </w:rPr>
            </w:pPr>
          </w:p>
        </w:tc>
        <w:tc>
          <w:tcPr>
            <w:tcW w:w="56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(311)</w:t>
            </w:r>
          </w:p>
        </w:tc>
        <w:tc>
          <w:tcPr>
            <w:tcW w:w="54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80" w:type="dxa"/>
            <w:vAlign w:val="bottom"/>
          </w:tcPr>
          <w:p>
            <w:pPr>
              <w:spacing w:after="0"/>
              <w:rPr>
                <w:sz w:val="8"/>
                <w:szCs w:val="8"/>
                <w:color w:val="auto"/>
              </w:rPr>
            </w:pPr>
          </w:p>
        </w:tc>
        <w:tc>
          <w:tcPr>
            <w:tcW w:w="760" w:type="dxa"/>
            <w:vAlign w:val="bottom"/>
          </w:tcPr>
          <w:p>
            <w:pPr>
              <w:jc w:val="right"/>
              <w:ind w:right="117"/>
              <w:spacing w:after="0" w:line="94" w:lineRule="exact"/>
              <w:rPr>
                <w:sz w:val="20"/>
                <w:szCs w:val="20"/>
                <w:color w:val="auto"/>
              </w:rPr>
            </w:pPr>
            <w:r>
              <w:rPr>
                <w:rFonts w:ascii="Times New Roman" w:cs="Times New Roman" w:eastAsia="Times New Roman" w:hAnsi="Times New Roman"/>
                <w:sz w:val="9"/>
                <w:szCs w:val="9"/>
                <w:color w:val="auto"/>
              </w:rPr>
              <w:t>(52)</w:t>
            </w:r>
          </w:p>
        </w:tc>
        <w:tc>
          <w:tcPr>
            <w:tcW w:w="560" w:type="dxa"/>
            <w:vAlign w:val="bottom"/>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(31)%</w:t>
            </w: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spacing w:after="0"/>
              <w:rPr>
                <w:sz w:val="8"/>
                <w:szCs w:val="8"/>
                <w:color w:val="auto"/>
              </w:rPr>
            </w:pPr>
          </w:p>
        </w:tc>
        <w:tc>
          <w:tcPr>
            <w:tcW w:w="298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Cleaning and maintenance</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(182)</w:t>
            </w: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(256)</w:t>
            </w: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(572)</w:t>
            </w: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(650)</w:t>
            </w:r>
          </w:p>
        </w:tc>
        <w:tc>
          <w:tcPr>
            <w:tcW w:w="54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29%</w:t>
            </w:r>
          </w:p>
        </w:tc>
        <w:tc>
          <w:tcPr>
            <w:tcW w:w="56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12%</w:t>
            </w:r>
          </w:p>
        </w:tc>
        <w:tc>
          <w:tcPr>
            <w:tcW w:w="0" w:type="dxa"/>
            <w:vAlign w:val="bottom"/>
          </w:tcPr>
          <w:p>
            <w:pPr>
              <w:spacing w:after="0"/>
              <w:rPr>
                <w:sz w:val="1"/>
                <w:szCs w:val="1"/>
                <w:color w:val="auto"/>
              </w:rPr>
            </w:pPr>
          </w:p>
        </w:tc>
      </w:tr>
      <w:tr>
        <w:trPr>
          <w:trHeight w:val="93"/>
        </w:trPr>
        <w:tc>
          <w:tcPr>
            <w:tcW w:w="1200" w:type="dxa"/>
            <w:vAlign w:val="bottom"/>
          </w:tcPr>
          <w:p>
            <w:pPr>
              <w:spacing w:after="0"/>
              <w:rPr>
                <w:sz w:val="8"/>
                <w:szCs w:val="8"/>
                <w:color w:val="auto"/>
              </w:rPr>
            </w:pPr>
          </w:p>
        </w:tc>
        <w:tc>
          <w:tcPr>
            <w:tcW w:w="2980" w:type="dxa"/>
            <w:vAlign w:val="bottom"/>
          </w:tcPr>
          <w:p>
            <w:pPr>
              <w:ind w:left="100"/>
              <w:spacing w:after="0" w:line="94" w:lineRule="exact"/>
              <w:rPr>
                <w:sz w:val="20"/>
                <w:szCs w:val="20"/>
                <w:color w:val="auto"/>
              </w:rPr>
            </w:pPr>
            <w:r>
              <w:rPr>
                <w:rFonts w:ascii="Times New Roman" w:cs="Times New Roman" w:eastAsia="Times New Roman" w:hAnsi="Times New Roman"/>
                <w:sz w:val="9"/>
                <w:szCs w:val="9"/>
                <w:color w:val="auto"/>
              </w:rPr>
              <w:t>Other operating expenses</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(165)</w:t>
            </w: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10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(305)</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(624)</w:t>
            </w:r>
          </w:p>
        </w:tc>
        <w:tc>
          <w:tcPr>
            <w:tcW w:w="40" w:type="dxa"/>
            <w:vAlign w:val="bottom"/>
          </w:tcPr>
          <w:p>
            <w:pPr>
              <w:spacing w:after="0"/>
              <w:rPr>
                <w:sz w:val="8"/>
                <w:szCs w:val="8"/>
                <w:color w:val="auto"/>
              </w:rPr>
            </w:pPr>
          </w:p>
        </w:tc>
        <w:tc>
          <w:tcPr>
            <w:tcW w:w="56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(802)</w:t>
            </w:r>
          </w:p>
        </w:tc>
        <w:tc>
          <w:tcPr>
            <w:tcW w:w="54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80" w:type="dxa"/>
            <w:vAlign w:val="bottom"/>
          </w:tcPr>
          <w:p>
            <w:pPr>
              <w:spacing w:after="0"/>
              <w:rPr>
                <w:sz w:val="8"/>
                <w:szCs w:val="8"/>
                <w:color w:val="auto"/>
              </w:rPr>
            </w:pPr>
          </w:p>
        </w:tc>
        <w:tc>
          <w:tcPr>
            <w:tcW w:w="76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46%</w:t>
            </w:r>
          </w:p>
        </w:tc>
        <w:tc>
          <w:tcPr>
            <w:tcW w:w="560" w:type="dxa"/>
            <w:vAlign w:val="bottom"/>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22%</w:t>
            </w:r>
          </w:p>
        </w:tc>
        <w:tc>
          <w:tcPr>
            <w:tcW w:w="0" w:type="dxa"/>
            <w:vAlign w:val="bottom"/>
          </w:tcPr>
          <w:p>
            <w:pPr>
              <w:spacing w:after="0"/>
              <w:rPr>
                <w:sz w:val="1"/>
                <w:szCs w:val="1"/>
                <w:color w:val="auto"/>
              </w:rPr>
            </w:pPr>
          </w:p>
        </w:tc>
      </w:tr>
      <w:tr>
        <w:trPr>
          <w:trHeight w:val="82"/>
        </w:trPr>
        <w:tc>
          <w:tcPr>
            <w:tcW w:w="1200" w:type="dxa"/>
            <w:vAlign w:val="bottom"/>
            <w:tcBorders>
              <w:top w:val="single" w:sz="8" w:color="CCEEFF"/>
            </w:tcBorders>
            <w:shd w:val="clear" w:color="auto" w:fill="CCEEFF"/>
          </w:tcPr>
          <w:p>
            <w:pPr>
              <w:spacing w:after="0"/>
              <w:rPr>
                <w:sz w:val="7"/>
                <w:szCs w:val="7"/>
                <w:color w:val="auto"/>
              </w:rPr>
            </w:pPr>
          </w:p>
        </w:tc>
        <w:tc>
          <w:tcPr>
            <w:tcW w:w="29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(2,732)</w:t>
            </w:r>
          </w:p>
        </w:tc>
        <w:tc>
          <w:tcPr>
            <w:tcW w:w="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6%</w:t>
            </w: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(3,431)</w:t>
            </w:r>
          </w:p>
        </w:tc>
        <w:tc>
          <w:tcPr>
            <w:tcW w:w="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6%</w:t>
            </w: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(8,603)</w:t>
            </w:r>
          </w:p>
        </w:tc>
        <w:tc>
          <w:tcPr>
            <w:tcW w:w="4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6%</w:t>
            </w: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tcBorders>
              <w:top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(9,081)</w:t>
            </w:r>
          </w:p>
        </w:tc>
        <w:tc>
          <w:tcPr>
            <w:tcW w:w="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CCEEFF"/>
            </w:tcBorders>
            <w:shd w:val="clear" w:color="auto" w:fill="CCEEFF"/>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6%</w:t>
            </w:r>
          </w:p>
        </w:tc>
        <w:tc>
          <w:tcPr>
            <w:tcW w:w="8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jc w:val="right"/>
              <w:ind w:right="37"/>
              <w:spacing w:after="0" w:line="83" w:lineRule="exact"/>
              <w:rPr>
                <w:sz w:val="20"/>
                <w:szCs w:val="20"/>
                <w:color w:val="auto"/>
              </w:rPr>
            </w:pPr>
            <w:r>
              <w:rPr>
                <w:rFonts w:ascii="Times New Roman" w:cs="Times New Roman" w:eastAsia="Times New Roman" w:hAnsi="Times New Roman"/>
                <w:sz w:val="9"/>
                <w:szCs w:val="9"/>
                <w:b w:val="1"/>
                <w:bCs w:val="1"/>
                <w:color w:val="auto"/>
              </w:rPr>
              <w:t>20%</w:t>
            </w:r>
          </w:p>
        </w:tc>
        <w:tc>
          <w:tcPr>
            <w:tcW w:w="560" w:type="dxa"/>
            <w:vAlign w:val="bottom"/>
            <w:tcBorders>
              <w:top w:val="single" w:sz="8" w:color="CCEEFF"/>
            </w:tcBorders>
            <w:shd w:val="clear" w:color="auto" w:fill="CCEEFF"/>
          </w:tcPr>
          <w:p>
            <w:pPr>
              <w:jc w:val="right"/>
              <w:ind w:right="17"/>
              <w:spacing w:after="0" w:line="83" w:lineRule="exact"/>
              <w:rPr>
                <w:sz w:val="20"/>
                <w:szCs w:val="20"/>
                <w:color w:val="auto"/>
              </w:rPr>
            </w:pPr>
            <w:r>
              <w:rPr>
                <w:rFonts w:ascii="Times New Roman" w:cs="Times New Roman" w:eastAsia="Times New Roman" w:hAnsi="Times New Roman"/>
                <w:sz w:val="9"/>
                <w:szCs w:val="9"/>
                <w:b w:val="1"/>
                <w:bCs w:val="1"/>
                <w:color w:val="auto"/>
              </w:rPr>
              <w:t>5%</w:t>
            </w:r>
          </w:p>
        </w:tc>
        <w:tc>
          <w:tcPr>
            <w:tcW w:w="0" w:type="dxa"/>
            <w:vAlign w:val="bottom"/>
          </w:tcPr>
          <w:p>
            <w:pPr>
              <w:spacing w:after="0"/>
              <w:rPr>
                <w:sz w:val="1"/>
                <w:szCs w:val="1"/>
                <w:color w:val="auto"/>
              </w:rPr>
            </w:pPr>
          </w:p>
        </w:tc>
      </w:tr>
      <w:tr>
        <w:trPr>
          <w:trHeight w:val="93"/>
        </w:trPr>
        <w:tc>
          <w:tcPr>
            <w:tcW w:w="12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Total operating expense</w:t>
            </w:r>
          </w:p>
        </w:tc>
        <w:tc>
          <w:tcPr>
            <w:tcW w:w="2980" w:type="dxa"/>
            <w:vAlign w:val="bottom"/>
            <w:shd w:val="clear" w:color="auto" w:fill="CCEEFF"/>
          </w:tcPr>
          <w:p>
            <w:pPr>
              <w:spacing w:after="0"/>
              <w:rPr>
                <w:sz w:val="8"/>
                <w:szCs w:val="8"/>
                <w:color w:val="auto"/>
              </w:rPr>
            </w:pPr>
          </w:p>
        </w:tc>
        <w:tc>
          <w:tcPr>
            <w:tcW w:w="180" w:type="dxa"/>
            <w:vAlign w:val="bottom"/>
            <w:gridSpan w:val="2"/>
            <w:shd w:val="clear" w:color="auto" w:fill="CCEEFF"/>
          </w:tcPr>
          <w:p>
            <w:pPr>
              <w:jc w:val="right"/>
              <w:ind w:right="33"/>
              <w:spacing w:after="0" w:line="94" w:lineRule="exact"/>
              <w:rPr>
                <w:sz w:val="20"/>
                <w:szCs w:val="20"/>
                <w:color w:val="auto"/>
              </w:rPr>
            </w:pPr>
            <w:r>
              <w:rPr>
                <w:rFonts w:ascii="Times New Roman" w:cs="Times New Roman" w:eastAsia="Times New Roman" w:hAnsi="Times New Roman"/>
                <w:sz w:val="9"/>
                <w:szCs w:val="9"/>
                <w:b w:val="1"/>
                <w:bCs w:val="1"/>
                <w:color w:val="auto"/>
              </w:rPr>
              <w:t>$</w:t>
            </w: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b w:val="1"/>
                <w:bCs w:val="1"/>
                <w:color w:val="auto"/>
              </w:rPr>
              <w:t>(43,694)</w:t>
            </w: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6"/>
              </w:rPr>
              <w:t>90%</w:t>
            </w:r>
          </w:p>
        </w:tc>
        <w:tc>
          <w:tcPr>
            <w:tcW w:w="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b w:val="1"/>
                <w:bCs w:val="1"/>
                <w:color w:val="auto"/>
              </w:rPr>
              <w:t>(50,633)</w:t>
            </w: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6"/>
              </w:rPr>
              <w:t>90%</w:t>
            </w:r>
          </w:p>
        </w:tc>
        <w:tc>
          <w:tcPr>
            <w:tcW w:w="180" w:type="dxa"/>
            <w:vAlign w:val="bottom"/>
            <w:gridSpan w:val="2"/>
            <w:shd w:val="clear" w:color="auto" w:fill="CCEEFF"/>
          </w:tcPr>
          <w:p>
            <w:pPr>
              <w:jc w:val="right"/>
              <w:ind w:right="53"/>
              <w:spacing w:after="0" w:line="94" w:lineRule="exact"/>
              <w:rPr>
                <w:sz w:val="20"/>
                <w:szCs w:val="20"/>
                <w:color w:val="auto"/>
              </w:rPr>
            </w:pPr>
            <w:r>
              <w:rPr>
                <w:rFonts w:ascii="Times New Roman" w:cs="Times New Roman" w:eastAsia="Times New Roman" w:hAnsi="Times New Roman"/>
                <w:sz w:val="9"/>
                <w:szCs w:val="9"/>
                <w:b w:val="1"/>
                <w:bCs w:val="1"/>
                <w:color w:val="auto"/>
              </w:rPr>
              <w:t>$</w:t>
            </w: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b w:val="1"/>
                <w:bCs w:val="1"/>
                <w:color w:val="auto"/>
              </w:rPr>
              <w:t>(129,292)</w:t>
            </w: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6"/>
              </w:rPr>
              <w:t>91%</w:t>
            </w:r>
          </w:p>
        </w:tc>
        <w:tc>
          <w:tcPr>
            <w:tcW w:w="120" w:type="dxa"/>
            <w:vAlign w:val="bottom"/>
            <w:gridSpan w:val="2"/>
            <w:shd w:val="clear" w:color="auto" w:fill="CCEEFF"/>
          </w:tcPr>
          <w:p>
            <w:pPr>
              <w:jc w:val="right"/>
              <w:ind w:right="33"/>
              <w:spacing w:after="0" w:line="94" w:lineRule="exact"/>
              <w:rPr>
                <w:sz w:val="20"/>
                <w:szCs w:val="20"/>
                <w:color w:val="auto"/>
              </w:rPr>
            </w:pPr>
            <w:r>
              <w:rPr>
                <w:rFonts w:ascii="Times New Roman" w:cs="Times New Roman" w:eastAsia="Times New Roman" w:hAnsi="Times New Roman"/>
                <w:sz w:val="9"/>
                <w:szCs w:val="9"/>
                <w:b w:val="1"/>
                <w:bCs w:val="1"/>
                <w:color w:val="auto"/>
                <w:w w:val="87"/>
              </w:rPr>
              <w:t>$</w:t>
            </w:r>
          </w:p>
        </w:tc>
        <w:tc>
          <w:tcPr>
            <w:tcW w:w="76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b w:val="1"/>
                <w:bCs w:val="1"/>
                <w:color w:val="auto"/>
              </w:rPr>
              <w:t>(136,407)</w:t>
            </w:r>
          </w:p>
        </w:tc>
        <w:tc>
          <w:tcPr>
            <w:tcW w:w="54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6"/>
              </w:rPr>
              <w:t>97%</w:t>
            </w: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b w:val="1"/>
                <w:bCs w:val="1"/>
                <w:color w:val="auto"/>
              </w:rPr>
              <w:t>14%</w:t>
            </w:r>
          </w:p>
        </w:tc>
        <w:tc>
          <w:tcPr>
            <w:tcW w:w="560" w:type="dxa"/>
            <w:vAlign w:val="bottom"/>
            <w:shd w:val="clear" w:color="auto" w:fill="CCEEFF"/>
          </w:tcPr>
          <w:p>
            <w:pPr>
              <w:jc w:val="right"/>
              <w:ind w:right="17"/>
              <w:spacing w:after="0" w:line="94" w:lineRule="exact"/>
              <w:rPr>
                <w:sz w:val="20"/>
                <w:szCs w:val="20"/>
                <w:color w:val="auto"/>
              </w:rPr>
            </w:pPr>
            <w:r>
              <w:rPr>
                <w:rFonts w:ascii="Times New Roman" w:cs="Times New Roman" w:eastAsia="Times New Roman" w:hAnsi="Times New Roman"/>
                <w:sz w:val="9"/>
                <w:szCs w:val="9"/>
                <w:b w:val="1"/>
                <w:bCs w:val="1"/>
                <w:color w:val="auto"/>
              </w:rPr>
              <w:t>5%</w:t>
            </w:r>
          </w:p>
        </w:tc>
        <w:tc>
          <w:tcPr>
            <w:tcW w:w="0" w:type="dxa"/>
            <w:vAlign w:val="bottom"/>
          </w:tcPr>
          <w:p>
            <w:pPr>
              <w:spacing w:after="0"/>
              <w:rPr>
                <w:sz w:val="1"/>
                <w:szCs w:val="1"/>
                <w:color w:val="auto"/>
              </w:rPr>
            </w:pPr>
          </w:p>
        </w:tc>
      </w:tr>
      <w:tr>
        <w:trPr>
          <w:trHeight w:val="92"/>
        </w:trPr>
        <w:tc>
          <w:tcPr>
            <w:tcW w:w="1200" w:type="dxa"/>
            <w:vAlign w:val="bottom"/>
            <w:tcBorders>
              <w:top w:val="single" w:sz="8" w:color="CCEEFF"/>
            </w:tcBorders>
          </w:tcPr>
          <w:p>
            <w:pPr>
              <w:spacing w:after="0"/>
              <w:rPr>
                <w:sz w:val="7"/>
                <w:szCs w:val="7"/>
                <w:color w:val="auto"/>
              </w:rPr>
            </w:pPr>
          </w:p>
        </w:tc>
        <w:tc>
          <w:tcPr>
            <w:tcW w:w="2980" w:type="dxa"/>
            <w:vAlign w:val="bottom"/>
            <w:tcBorders>
              <w:top w:val="single" w:sz="8" w:color="CCEE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52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52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560" w:type="dxa"/>
            <w:vAlign w:val="bottom"/>
            <w:tcBorders>
              <w:top w:val="single" w:sz="8" w:color="CCEEFF"/>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540" w:type="dxa"/>
            <w:vAlign w:val="bottom"/>
            <w:tcBorders>
              <w:top w:val="single" w:sz="8" w:color="CCEE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760" w:type="dxa"/>
            <w:vAlign w:val="bottom"/>
            <w:tcBorders>
              <w:top w:val="single" w:sz="8" w:color="CCEEFF"/>
            </w:tcBorders>
          </w:tcPr>
          <w:p>
            <w:pPr>
              <w:spacing w:after="0"/>
              <w:rPr>
                <w:sz w:val="7"/>
                <w:szCs w:val="7"/>
                <w:color w:val="auto"/>
              </w:rPr>
            </w:pPr>
          </w:p>
        </w:tc>
        <w:tc>
          <w:tcPr>
            <w:tcW w:w="560" w:type="dxa"/>
            <w:vAlign w:val="bottom"/>
            <w:tcBorders>
              <w:top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18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9"/>
                <w:szCs w:val="9"/>
                <w:b w:val="1"/>
                <w:bCs w:val="1"/>
                <w:color w:val="auto"/>
                <w:w w:val="96"/>
              </w:rPr>
              <w:t>DEPRECIATION, AMORTIZATION, IMPAIRMENT AND GENERAL AND ADMINISTRATIVE EXPENSE</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200" w:type="dxa"/>
            <w:vAlign w:val="bottom"/>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United States</w:t>
            </w:r>
          </w:p>
        </w:tc>
        <w:tc>
          <w:tcPr>
            <w:tcW w:w="2980" w:type="dxa"/>
            <w:vAlign w:val="bottom"/>
          </w:tcPr>
          <w:p>
            <w:pPr>
              <w:ind w:left="100"/>
              <w:spacing w:after="0" w:line="94" w:lineRule="exact"/>
              <w:rPr>
                <w:sz w:val="20"/>
                <w:szCs w:val="20"/>
                <w:color w:val="auto"/>
              </w:rPr>
            </w:pPr>
            <w:r>
              <w:rPr>
                <w:rFonts w:ascii="Times New Roman" w:cs="Times New Roman" w:eastAsia="Times New Roman" w:hAnsi="Times New Roman"/>
                <w:sz w:val="9"/>
                <w:szCs w:val="9"/>
                <w:color w:val="auto"/>
              </w:rPr>
              <w:t>Depreciation and amortization</w:t>
            </w:r>
          </w:p>
        </w:tc>
        <w:tc>
          <w:tcPr>
            <w:tcW w:w="180" w:type="dxa"/>
            <w:vAlign w:val="bottom"/>
            <w:gridSpan w:val="2"/>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(1,043)</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(1,259)</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180" w:type="dxa"/>
            <w:vAlign w:val="bottom"/>
            <w:gridSpan w:val="2"/>
          </w:tcPr>
          <w:p>
            <w:pPr>
              <w:jc w:val="right"/>
              <w:ind w:right="53"/>
              <w:spacing w:after="0" w:line="94"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(3,321)</w:t>
            </w:r>
          </w:p>
        </w:tc>
        <w:tc>
          <w:tcPr>
            <w:tcW w:w="40" w:type="dxa"/>
            <w:vAlign w:val="bottom"/>
          </w:tcPr>
          <w:p>
            <w:pPr>
              <w:spacing w:after="0"/>
              <w:rPr>
                <w:sz w:val="8"/>
                <w:szCs w:val="8"/>
                <w:color w:val="auto"/>
              </w:rPr>
            </w:pPr>
          </w:p>
        </w:tc>
        <w:tc>
          <w:tcPr>
            <w:tcW w:w="56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120" w:type="dxa"/>
            <w:vAlign w:val="bottom"/>
            <w:gridSpan w:val="2"/>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w w:val="87"/>
              </w:rPr>
              <w:t>$</w:t>
            </w:r>
          </w:p>
        </w:tc>
        <w:tc>
          <w:tcPr>
            <w:tcW w:w="76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(3,784)</w:t>
            </w:r>
          </w:p>
        </w:tc>
        <w:tc>
          <w:tcPr>
            <w:tcW w:w="54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3%</w:t>
            </w:r>
          </w:p>
        </w:tc>
        <w:tc>
          <w:tcPr>
            <w:tcW w:w="80" w:type="dxa"/>
            <w:vAlign w:val="bottom"/>
          </w:tcPr>
          <w:p>
            <w:pPr>
              <w:spacing w:after="0"/>
              <w:rPr>
                <w:sz w:val="8"/>
                <w:szCs w:val="8"/>
                <w:color w:val="auto"/>
              </w:rPr>
            </w:pPr>
          </w:p>
        </w:tc>
        <w:tc>
          <w:tcPr>
            <w:tcW w:w="76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17%</w:t>
            </w:r>
          </w:p>
        </w:tc>
        <w:tc>
          <w:tcPr>
            <w:tcW w:w="560" w:type="dxa"/>
            <w:vAlign w:val="bottom"/>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12%</w:t>
            </w: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spacing w:after="0"/>
              <w:rPr>
                <w:sz w:val="8"/>
                <w:szCs w:val="8"/>
                <w:color w:val="auto"/>
              </w:rPr>
            </w:pPr>
          </w:p>
        </w:tc>
        <w:tc>
          <w:tcPr>
            <w:tcW w:w="298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General and administrative expense</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(674)</w:t>
            </w: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(513)</w:t>
            </w: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(2,130)</w:t>
            </w: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(1,885)</w:t>
            </w:r>
          </w:p>
        </w:tc>
        <w:tc>
          <w:tcPr>
            <w:tcW w:w="54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(31)%</w:t>
            </w:r>
          </w:p>
        </w:tc>
        <w:tc>
          <w:tcPr>
            <w:tcW w:w="56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(13)%</w:t>
            </w:r>
          </w:p>
        </w:tc>
        <w:tc>
          <w:tcPr>
            <w:tcW w:w="0" w:type="dxa"/>
            <w:vAlign w:val="bottom"/>
          </w:tcPr>
          <w:p>
            <w:pPr>
              <w:spacing w:after="0"/>
              <w:rPr>
                <w:sz w:val="1"/>
                <w:szCs w:val="1"/>
                <w:color w:val="auto"/>
              </w:rPr>
            </w:pPr>
          </w:p>
        </w:tc>
      </w:tr>
      <w:tr>
        <w:trPr>
          <w:trHeight w:val="82"/>
        </w:trPr>
        <w:tc>
          <w:tcPr>
            <w:tcW w:w="1200" w:type="dxa"/>
            <w:vAlign w:val="bottom"/>
          </w:tcPr>
          <w:p>
            <w:pPr>
              <w:spacing w:after="0"/>
              <w:rPr>
                <w:sz w:val="7"/>
                <w:szCs w:val="7"/>
                <w:color w:val="auto"/>
              </w:rPr>
            </w:pPr>
          </w:p>
        </w:tc>
        <w:tc>
          <w:tcPr>
            <w:tcW w:w="2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(1,717)</w:t>
            </w:r>
          </w:p>
        </w:tc>
        <w:tc>
          <w:tcPr>
            <w:tcW w:w="20" w:type="dxa"/>
            <w:vAlign w:val="bottom"/>
          </w:tcPr>
          <w:p>
            <w:pPr>
              <w:spacing w:after="0"/>
              <w:rPr>
                <w:sz w:val="7"/>
                <w:szCs w:val="7"/>
                <w:color w:val="auto"/>
              </w:rPr>
            </w:pPr>
          </w:p>
        </w:tc>
        <w:tc>
          <w:tcPr>
            <w:tcW w:w="52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4%</w:t>
            </w:r>
          </w:p>
        </w:tc>
        <w:tc>
          <w:tcPr>
            <w:tcW w:w="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(1,772)</w:t>
            </w:r>
          </w:p>
        </w:tc>
        <w:tc>
          <w:tcPr>
            <w:tcW w:w="20" w:type="dxa"/>
            <w:vAlign w:val="bottom"/>
          </w:tcPr>
          <w:p>
            <w:pPr>
              <w:spacing w:after="0"/>
              <w:rPr>
                <w:sz w:val="7"/>
                <w:szCs w:val="7"/>
                <w:color w:val="auto"/>
              </w:rPr>
            </w:pPr>
          </w:p>
        </w:tc>
        <w:tc>
          <w:tcPr>
            <w:tcW w:w="52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3%</w:t>
            </w:r>
          </w:p>
        </w:tc>
        <w:tc>
          <w:tcPr>
            <w:tcW w:w="60" w:type="dxa"/>
            <w:vAlign w:val="bottom"/>
          </w:tcPr>
          <w:p>
            <w:pPr>
              <w:spacing w:after="0"/>
              <w:rPr>
                <w:sz w:val="7"/>
                <w:szCs w:val="7"/>
                <w:color w:val="auto"/>
              </w:rPr>
            </w:pPr>
          </w:p>
        </w:tc>
        <w:tc>
          <w:tcPr>
            <w:tcW w:w="1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(5,451)</w:t>
            </w:r>
          </w:p>
        </w:tc>
        <w:tc>
          <w:tcPr>
            <w:tcW w:w="40" w:type="dxa"/>
            <w:vAlign w:val="bottom"/>
          </w:tcPr>
          <w:p>
            <w:pPr>
              <w:spacing w:after="0"/>
              <w:rPr>
                <w:sz w:val="7"/>
                <w:szCs w:val="7"/>
                <w:color w:val="auto"/>
              </w:rPr>
            </w:pPr>
          </w:p>
        </w:tc>
        <w:tc>
          <w:tcPr>
            <w:tcW w:w="56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4%</w:t>
            </w:r>
          </w:p>
        </w:tc>
        <w:tc>
          <w:tcPr>
            <w:tcW w:w="20" w:type="dxa"/>
            <w:vAlign w:val="bottom"/>
          </w:tcPr>
          <w:p>
            <w:pPr>
              <w:spacing w:after="0"/>
              <w:rPr>
                <w:sz w:val="7"/>
                <w:szCs w:val="7"/>
                <w:color w:val="auto"/>
              </w:rPr>
            </w:pPr>
          </w:p>
        </w:tc>
        <w:tc>
          <w:tcPr>
            <w:tcW w:w="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(5,669)</w:t>
            </w:r>
          </w:p>
        </w:tc>
        <w:tc>
          <w:tcPr>
            <w:tcW w:w="20" w:type="dxa"/>
            <w:vAlign w:val="bottom"/>
          </w:tcPr>
          <w:p>
            <w:pPr>
              <w:spacing w:after="0"/>
              <w:rPr>
                <w:sz w:val="7"/>
                <w:szCs w:val="7"/>
                <w:color w:val="auto"/>
              </w:rPr>
            </w:pPr>
          </w:p>
        </w:tc>
        <w:tc>
          <w:tcPr>
            <w:tcW w:w="54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4%</w:t>
            </w:r>
          </w:p>
        </w:tc>
        <w:tc>
          <w:tcPr>
            <w:tcW w:w="80" w:type="dxa"/>
            <w:vAlign w:val="bottom"/>
          </w:tcPr>
          <w:p>
            <w:pPr>
              <w:spacing w:after="0"/>
              <w:rPr>
                <w:sz w:val="7"/>
                <w:szCs w:val="7"/>
                <w:color w:val="auto"/>
              </w:rPr>
            </w:pPr>
          </w:p>
        </w:tc>
        <w:tc>
          <w:tcPr>
            <w:tcW w:w="760" w:type="dxa"/>
            <w:vAlign w:val="bottom"/>
          </w:tcPr>
          <w:p>
            <w:pPr>
              <w:jc w:val="right"/>
              <w:ind w:right="37"/>
              <w:spacing w:after="0" w:line="83" w:lineRule="exact"/>
              <w:rPr>
                <w:sz w:val="20"/>
                <w:szCs w:val="20"/>
                <w:color w:val="auto"/>
              </w:rPr>
            </w:pPr>
            <w:r>
              <w:rPr>
                <w:rFonts w:ascii="Times New Roman" w:cs="Times New Roman" w:eastAsia="Times New Roman" w:hAnsi="Times New Roman"/>
                <w:sz w:val="9"/>
                <w:szCs w:val="9"/>
                <w:b w:val="1"/>
                <w:bCs w:val="1"/>
                <w:color w:val="auto"/>
              </w:rPr>
              <w:t>3%</w:t>
            </w:r>
          </w:p>
        </w:tc>
        <w:tc>
          <w:tcPr>
            <w:tcW w:w="560" w:type="dxa"/>
            <w:vAlign w:val="bottom"/>
          </w:tcPr>
          <w:p>
            <w:pPr>
              <w:jc w:val="right"/>
              <w:ind w:right="17"/>
              <w:spacing w:after="0" w:line="83" w:lineRule="exact"/>
              <w:rPr>
                <w:sz w:val="20"/>
                <w:szCs w:val="20"/>
                <w:color w:val="auto"/>
              </w:rPr>
            </w:pPr>
            <w:r>
              <w:rPr>
                <w:rFonts w:ascii="Times New Roman" w:cs="Times New Roman" w:eastAsia="Times New Roman" w:hAnsi="Times New Roman"/>
                <w:sz w:val="9"/>
                <w:szCs w:val="9"/>
                <w:b w:val="1"/>
                <w:bCs w:val="1"/>
                <w:color w:val="auto"/>
              </w:rPr>
              <w:t>4%</w:t>
            </w: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spacing w:after="0"/>
              <w:rPr>
                <w:sz w:val="8"/>
                <w:szCs w:val="8"/>
                <w:color w:val="auto"/>
              </w:rPr>
            </w:pPr>
          </w:p>
        </w:tc>
        <w:tc>
          <w:tcPr>
            <w:tcW w:w="2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200" w:type="dxa"/>
            <w:vAlign w:val="bottom"/>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Australia</w:t>
            </w:r>
          </w:p>
        </w:tc>
        <w:tc>
          <w:tcPr>
            <w:tcW w:w="2980" w:type="dxa"/>
            <w:vAlign w:val="bottom"/>
          </w:tcPr>
          <w:p>
            <w:pPr>
              <w:ind w:left="100"/>
              <w:spacing w:after="0" w:line="94" w:lineRule="exact"/>
              <w:rPr>
                <w:sz w:val="20"/>
                <w:szCs w:val="20"/>
                <w:color w:val="auto"/>
              </w:rPr>
            </w:pPr>
            <w:r>
              <w:rPr>
                <w:rFonts w:ascii="Times New Roman" w:cs="Times New Roman" w:eastAsia="Times New Roman" w:hAnsi="Times New Roman"/>
                <w:sz w:val="9"/>
                <w:szCs w:val="9"/>
                <w:color w:val="auto"/>
              </w:rPr>
              <w:t>Depreciation and amortization</w:t>
            </w:r>
          </w:p>
        </w:tc>
        <w:tc>
          <w:tcPr>
            <w:tcW w:w="180" w:type="dxa"/>
            <w:vAlign w:val="bottom"/>
            <w:gridSpan w:val="2"/>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rPr>
              <w:t>$</w:t>
            </w:r>
          </w:p>
        </w:tc>
        <w:tc>
          <w:tcPr>
            <w:tcW w:w="74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(895)</w:t>
            </w: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(1,237)</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180" w:type="dxa"/>
            <w:vAlign w:val="bottom"/>
            <w:gridSpan w:val="2"/>
          </w:tcPr>
          <w:p>
            <w:pPr>
              <w:jc w:val="right"/>
              <w:ind w:right="53"/>
              <w:spacing w:after="0" w:line="94"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(2,714)</w:t>
            </w:r>
          </w:p>
        </w:tc>
        <w:tc>
          <w:tcPr>
            <w:tcW w:w="40" w:type="dxa"/>
            <w:vAlign w:val="bottom"/>
          </w:tcPr>
          <w:p>
            <w:pPr>
              <w:spacing w:after="0"/>
              <w:rPr>
                <w:sz w:val="8"/>
                <w:szCs w:val="8"/>
                <w:color w:val="auto"/>
              </w:rPr>
            </w:pPr>
          </w:p>
        </w:tc>
        <w:tc>
          <w:tcPr>
            <w:tcW w:w="56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120" w:type="dxa"/>
            <w:vAlign w:val="bottom"/>
            <w:gridSpan w:val="2"/>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w w:val="87"/>
              </w:rPr>
              <w:t>$</w:t>
            </w:r>
          </w:p>
        </w:tc>
        <w:tc>
          <w:tcPr>
            <w:tcW w:w="76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(3,619)</w:t>
            </w:r>
          </w:p>
        </w:tc>
        <w:tc>
          <w:tcPr>
            <w:tcW w:w="54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3%</w:t>
            </w:r>
          </w:p>
        </w:tc>
        <w:tc>
          <w:tcPr>
            <w:tcW w:w="80" w:type="dxa"/>
            <w:vAlign w:val="bottom"/>
          </w:tcPr>
          <w:p>
            <w:pPr>
              <w:spacing w:after="0"/>
              <w:rPr>
                <w:sz w:val="8"/>
                <w:szCs w:val="8"/>
                <w:color w:val="auto"/>
              </w:rPr>
            </w:pPr>
          </w:p>
        </w:tc>
        <w:tc>
          <w:tcPr>
            <w:tcW w:w="76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28%</w:t>
            </w:r>
          </w:p>
        </w:tc>
        <w:tc>
          <w:tcPr>
            <w:tcW w:w="560" w:type="dxa"/>
            <w:vAlign w:val="bottom"/>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25%</w:t>
            </w: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spacing w:after="0"/>
              <w:rPr>
                <w:sz w:val="8"/>
                <w:szCs w:val="8"/>
                <w:color w:val="auto"/>
              </w:rPr>
            </w:pPr>
          </w:p>
        </w:tc>
        <w:tc>
          <w:tcPr>
            <w:tcW w:w="298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General and administrative expense</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(314)</w:t>
            </w: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(389)</w:t>
            </w: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(1,086)</w:t>
            </w: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(1,087)</w:t>
            </w:r>
          </w:p>
        </w:tc>
        <w:tc>
          <w:tcPr>
            <w:tcW w:w="54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19%</w:t>
            </w:r>
          </w:p>
        </w:tc>
        <w:tc>
          <w:tcPr>
            <w:tcW w:w="56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82"/>
        </w:trPr>
        <w:tc>
          <w:tcPr>
            <w:tcW w:w="1200" w:type="dxa"/>
            <w:vAlign w:val="bottom"/>
          </w:tcPr>
          <w:p>
            <w:pPr>
              <w:spacing w:after="0"/>
              <w:rPr>
                <w:sz w:val="7"/>
                <w:szCs w:val="7"/>
                <w:color w:val="auto"/>
              </w:rPr>
            </w:pPr>
          </w:p>
        </w:tc>
        <w:tc>
          <w:tcPr>
            <w:tcW w:w="2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(1,209)</w:t>
            </w:r>
          </w:p>
        </w:tc>
        <w:tc>
          <w:tcPr>
            <w:tcW w:w="20" w:type="dxa"/>
            <w:vAlign w:val="bottom"/>
          </w:tcPr>
          <w:p>
            <w:pPr>
              <w:spacing w:after="0"/>
              <w:rPr>
                <w:sz w:val="7"/>
                <w:szCs w:val="7"/>
                <w:color w:val="auto"/>
              </w:rPr>
            </w:pPr>
          </w:p>
        </w:tc>
        <w:tc>
          <w:tcPr>
            <w:tcW w:w="52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2%</w:t>
            </w:r>
          </w:p>
        </w:tc>
        <w:tc>
          <w:tcPr>
            <w:tcW w:w="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(1,626)</w:t>
            </w:r>
          </w:p>
        </w:tc>
        <w:tc>
          <w:tcPr>
            <w:tcW w:w="20" w:type="dxa"/>
            <w:vAlign w:val="bottom"/>
          </w:tcPr>
          <w:p>
            <w:pPr>
              <w:spacing w:after="0"/>
              <w:rPr>
                <w:sz w:val="7"/>
                <w:szCs w:val="7"/>
                <w:color w:val="auto"/>
              </w:rPr>
            </w:pPr>
          </w:p>
        </w:tc>
        <w:tc>
          <w:tcPr>
            <w:tcW w:w="52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3%</w:t>
            </w:r>
          </w:p>
        </w:tc>
        <w:tc>
          <w:tcPr>
            <w:tcW w:w="60" w:type="dxa"/>
            <w:vAlign w:val="bottom"/>
          </w:tcPr>
          <w:p>
            <w:pPr>
              <w:spacing w:after="0"/>
              <w:rPr>
                <w:sz w:val="7"/>
                <w:szCs w:val="7"/>
                <w:color w:val="auto"/>
              </w:rPr>
            </w:pPr>
          </w:p>
        </w:tc>
        <w:tc>
          <w:tcPr>
            <w:tcW w:w="1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(3,800)</w:t>
            </w:r>
          </w:p>
        </w:tc>
        <w:tc>
          <w:tcPr>
            <w:tcW w:w="40" w:type="dxa"/>
            <w:vAlign w:val="bottom"/>
          </w:tcPr>
          <w:p>
            <w:pPr>
              <w:spacing w:after="0"/>
              <w:rPr>
                <w:sz w:val="7"/>
                <w:szCs w:val="7"/>
                <w:color w:val="auto"/>
              </w:rPr>
            </w:pPr>
          </w:p>
        </w:tc>
        <w:tc>
          <w:tcPr>
            <w:tcW w:w="56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3%</w:t>
            </w:r>
          </w:p>
        </w:tc>
        <w:tc>
          <w:tcPr>
            <w:tcW w:w="20" w:type="dxa"/>
            <w:vAlign w:val="bottom"/>
          </w:tcPr>
          <w:p>
            <w:pPr>
              <w:spacing w:after="0"/>
              <w:rPr>
                <w:sz w:val="7"/>
                <w:szCs w:val="7"/>
                <w:color w:val="auto"/>
              </w:rPr>
            </w:pPr>
          </w:p>
        </w:tc>
        <w:tc>
          <w:tcPr>
            <w:tcW w:w="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(4,706)</w:t>
            </w:r>
          </w:p>
        </w:tc>
        <w:tc>
          <w:tcPr>
            <w:tcW w:w="20" w:type="dxa"/>
            <w:vAlign w:val="bottom"/>
          </w:tcPr>
          <w:p>
            <w:pPr>
              <w:spacing w:after="0"/>
              <w:rPr>
                <w:sz w:val="7"/>
                <w:szCs w:val="7"/>
                <w:color w:val="auto"/>
              </w:rPr>
            </w:pPr>
          </w:p>
        </w:tc>
        <w:tc>
          <w:tcPr>
            <w:tcW w:w="54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3%</w:t>
            </w:r>
          </w:p>
        </w:tc>
        <w:tc>
          <w:tcPr>
            <w:tcW w:w="80" w:type="dxa"/>
            <w:vAlign w:val="bottom"/>
          </w:tcPr>
          <w:p>
            <w:pPr>
              <w:spacing w:after="0"/>
              <w:rPr>
                <w:sz w:val="7"/>
                <w:szCs w:val="7"/>
                <w:color w:val="auto"/>
              </w:rPr>
            </w:pPr>
          </w:p>
        </w:tc>
        <w:tc>
          <w:tcPr>
            <w:tcW w:w="760" w:type="dxa"/>
            <w:vAlign w:val="bottom"/>
          </w:tcPr>
          <w:p>
            <w:pPr>
              <w:jc w:val="right"/>
              <w:ind w:right="37"/>
              <w:spacing w:after="0" w:line="83" w:lineRule="exact"/>
              <w:rPr>
                <w:sz w:val="20"/>
                <w:szCs w:val="20"/>
                <w:color w:val="auto"/>
              </w:rPr>
            </w:pPr>
            <w:r>
              <w:rPr>
                <w:rFonts w:ascii="Times New Roman" w:cs="Times New Roman" w:eastAsia="Times New Roman" w:hAnsi="Times New Roman"/>
                <w:sz w:val="9"/>
                <w:szCs w:val="9"/>
                <w:b w:val="1"/>
                <w:bCs w:val="1"/>
                <w:color w:val="auto"/>
              </w:rPr>
              <w:t>26%</w:t>
            </w:r>
          </w:p>
        </w:tc>
        <w:tc>
          <w:tcPr>
            <w:tcW w:w="560" w:type="dxa"/>
            <w:vAlign w:val="bottom"/>
          </w:tcPr>
          <w:p>
            <w:pPr>
              <w:jc w:val="right"/>
              <w:ind w:right="17"/>
              <w:spacing w:after="0" w:line="83" w:lineRule="exact"/>
              <w:rPr>
                <w:sz w:val="20"/>
                <w:szCs w:val="20"/>
                <w:color w:val="auto"/>
              </w:rPr>
            </w:pPr>
            <w:r>
              <w:rPr>
                <w:rFonts w:ascii="Times New Roman" w:cs="Times New Roman" w:eastAsia="Times New Roman" w:hAnsi="Times New Roman"/>
                <w:sz w:val="9"/>
                <w:szCs w:val="9"/>
                <w:b w:val="1"/>
                <w:bCs w:val="1"/>
                <w:color w:val="auto"/>
              </w:rPr>
              <w:t>19%</w:t>
            </w: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spacing w:after="0"/>
              <w:rPr>
                <w:sz w:val="8"/>
                <w:szCs w:val="8"/>
                <w:color w:val="auto"/>
              </w:rPr>
            </w:pPr>
          </w:p>
        </w:tc>
        <w:tc>
          <w:tcPr>
            <w:tcW w:w="2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200" w:type="dxa"/>
            <w:vAlign w:val="bottom"/>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New Zealand</w:t>
            </w:r>
          </w:p>
        </w:tc>
        <w:tc>
          <w:tcPr>
            <w:tcW w:w="2980" w:type="dxa"/>
            <w:vAlign w:val="bottom"/>
          </w:tcPr>
          <w:p>
            <w:pPr>
              <w:ind w:left="100"/>
              <w:spacing w:after="0" w:line="94" w:lineRule="exact"/>
              <w:rPr>
                <w:sz w:val="20"/>
                <w:szCs w:val="20"/>
                <w:color w:val="auto"/>
              </w:rPr>
            </w:pPr>
            <w:r>
              <w:rPr>
                <w:rFonts w:ascii="Times New Roman" w:cs="Times New Roman" w:eastAsia="Times New Roman" w:hAnsi="Times New Roman"/>
                <w:sz w:val="9"/>
                <w:szCs w:val="9"/>
                <w:color w:val="auto"/>
              </w:rPr>
              <w:t>Depreciation and amortization</w:t>
            </w:r>
          </w:p>
        </w:tc>
        <w:tc>
          <w:tcPr>
            <w:tcW w:w="180" w:type="dxa"/>
            <w:vAlign w:val="bottom"/>
            <w:gridSpan w:val="2"/>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rPr>
              <w:t>$</w:t>
            </w:r>
          </w:p>
        </w:tc>
        <w:tc>
          <w:tcPr>
            <w:tcW w:w="74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(107)</w:t>
            </w: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(112)</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180" w:type="dxa"/>
            <w:vAlign w:val="bottom"/>
            <w:gridSpan w:val="2"/>
          </w:tcPr>
          <w:p>
            <w:pPr>
              <w:jc w:val="right"/>
              <w:ind w:right="53"/>
              <w:spacing w:after="0" w:line="94"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(323)</w:t>
            </w:r>
          </w:p>
        </w:tc>
        <w:tc>
          <w:tcPr>
            <w:tcW w:w="40" w:type="dxa"/>
            <w:vAlign w:val="bottom"/>
          </w:tcPr>
          <w:p>
            <w:pPr>
              <w:spacing w:after="0"/>
              <w:rPr>
                <w:sz w:val="8"/>
                <w:szCs w:val="8"/>
                <w:color w:val="auto"/>
              </w:rPr>
            </w:pPr>
          </w:p>
        </w:tc>
        <w:tc>
          <w:tcPr>
            <w:tcW w:w="56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120" w:type="dxa"/>
            <w:vAlign w:val="bottom"/>
            <w:gridSpan w:val="2"/>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w w:val="87"/>
              </w:rPr>
              <w:t>$</w:t>
            </w:r>
          </w:p>
        </w:tc>
        <w:tc>
          <w:tcPr>
            <w:tcW w:w="76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(350)</w:t>
            </w:r>
          </w:p>
        </w:tc>
        <w:tc>
          <w:tcPr>
            <w:tcW w:w="54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80" w:type="dxa"/>
            <w:vAlign w:val="bottom"/>
          </w:tcPr>
          <w:p>
            <w:pPr>
              <w:spacing w:after="0"/>
              <w:rPr>
                <w:sz w:val="8"/>
                <w:szCs w:val="8"/>
                <w:color w:val="auto"/>
              </w:rPr>
            </w:pPr>
          </w:p>
        </w:tc>
        <w:tc>
          <w:tcPr>
            <w:tcW w:w="76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4%</w:t>
            </w:r>
          </w:p>
        </w:tc>
        <w:tc>
          <w:tcPr>
            <w:tcW w:w="560" w:type="dxa"/>
            <w:vAlign w:val="bottom"/>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8%</w:t>
            </w: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spacing w:after="0"/>
              <w:rPr>
                <w:sz w:val="8"/>
                <w:szCs w:val="8"/>
                <w:color w:val="auto"/>
              </w:rPr>
            </w:pPr>
          </w:p>
        </w:tc>
        <w:tc>
          <w:tcPr>
            <w:tcW w:w="298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General and administrative expense</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(72)</w:t>
            </w: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(1)</w:t>
            </w: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(142)</w:t>
            </w: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(1)</w:t>
            </w:r>
          </w:p>
        </w:tc>
        <w:tc>
          <w:tcPr>
            <w:tcW w:w="54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(&gt;100)%</w:t>
            </w:r>
          </w:p>
        </w:tc>
        <w:tc>
          <w:tcPr>
            <w:tcW w:w="56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(&gt;100)%</w:t>
            </w:r>
          </w:p>
        </w:tc>
        <w:tc>
          <w:tcPr>
            <w:tcW w:w="0" w:type="dxa"/>
            <w:vAlign w:val="bottom"/>
          </w:tcPr>
          <w:p>
            <w:pPr>
              <w:spacing w:after="0"/>
              <w:rPr>
                <w:sz w:val="1"/>
                <w:szCs w:val="1"/>
                <w:color w:val="auto"/>
              </w:rPr>
            </w:pPr>
          </w:p>
        </w:tc>
      </w:tr>
      <w:tr>
        <w:trPr>
          <w:trHeight w:val="82"/>
        </w:trPr>
        <w:tc>
          <w:tcPr>
            <w:tcW w:w="1200" w:type="dxa"/>
            <w:vAlign w:val="bottom"/>
          </w:tcPr>
          <w:p>
            <w:pPr>
              <w:spacing w:after="0"/>
              <w:rPr>
                <w:sz w:val="7"/>
                <w:szCs w:val="7"/>
                <w:color w:val="auto"/>
              </w:rPr>
            </w:pPr>
          </w:p>
        </w:tc>
        <w:tc>
          <w:tcPr>
            <w:tcW w:w="2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(179)</w:t>
            </w:r>
          </w:p>
        </w:tc>
        <w:tc>
          <w:tcPr>
            <w:tcW w:w="20" w:type="dxa"/>
            <w:vAlign w:val="bottom"/>
          </w:tcPr>
          <w:p>
            <w:pPr>
              <w:spacing w:after="0"/>
              <w:rPr>
                <w:sz w:val="7"/>
                <w:szCs w:val="7"/>
                <w:color w:val="auto"/>
              </w:rPr>
            </w:pPr>
          </w:p>
        </w:tc>
        <w:tc>
          <w:tcPr>
            <w:tcW w:w="52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0%</w:t>
            </w:r>
          </w:p>
        </w:tc>
        <w:tc>
          <w:tcPr>
            <w:tcW w:w="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(113)</w:t>
            </w:r>
          </w:p>
        </w:tc>
        <w:tc>
          <w:tcPr>
            <w:tcW w:w="20" w:type="dxa"/>
            <w:vAlign w:val="bottom"/>
          </w:tcPr>
          <w:p>
            <w:pPr>
              <w:spacing w:after="0"/>
              <w:rPr>
                <w:sz w:val="7"/>
                <w:szCs w:val="7"/>
                <w:color w:val="auto"/>
              </w:rPr>
            </w:pPr>
          </w:p>
        </w:tc>
        <w:tc>
          <w:tcPr>
            <w:tcW w:w="52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0%</w:t>
            </w:r>
          </w:p>
        </w:tc>
        <w:tc>
          <w:tcPr>
            <w:tcW w:w="60" w:type="dxa"/>
            <w:vAlign w:val="bottom"/>
          </w:tcPr>
          <w:p>
            <w:pPr>
              <w:spacing w:after="0"/>
              <w:rPr>
                <w:sz w:val="7"/>
                <w:szCs w:val="7"/>
                <w:color w:val="auto"/>
              </w:rPr>
            </w:pPr>
          </w:p>
        </w:tc>
        <w:tc>
          <w:tcPr>
            <w:tcW w:w="1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(465)</w:t>
            </w:r>
          </w:p>
        </w:tc>
        <w:tc>
          <w:tcPr>
            <w:tcW w:w="40" w:type="dxa"/>
            <w:vAlign w:val="bottom"/>
          </w:tcPr>
          <w:p>
            <w:pPr>
              <w:spacing w:after="0"/>
              <w:rPr>
                <w:sz w:val="7"/>
                <w:szCs w:val="7"/>
                <w:color w:val="auto"/>
              </w:rPr>
            </w:pPr>
          </w:p>
        </w:tc>
        <w:tc>
          <w:tcPr>
            <w:tcW w:w="56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0%</w:t>
            </w:r>
          </w:p>
        </w:tc>
        <w:tc>
          <w:tcPr>
            <w:tcW w:w="20" w:type="dxa"/>
            <w:vAlign w:val="bottom"/>
          </w:tcPr>
          <w:p>
            <w:pPr>
              <w:spacing w:after="0"/>
              <w:rPr>
                <w:sz w:val="7"/>
                <w:szCs w:val="7"/>
                <w:color w:val="auto"/>
              </w:rPr>
            </w:pPr>
          </w:p>
        </w:tc>
        <w:tc>
          <w:tcPr>
            <w:tcW w:w="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(351)</w:t>
            </w:r>
          </w:p>
        </w:tc>
        <w:tc>
          <w:tcPr>
            <w:tcW w:w="20" w:type="dxa"/>
            <w:vAlign w:val="bottom"/>
          </w:tcPr>
          <w:p>
            <w:pPr>
              <w:spacing w:after="0"/>
              <w:rPr>
                <w:sz w:val="7"/>
                <w:szCs w:val="7"/>
                <w:color w:val="auto"/>
              </w:rPr>
            </w:pPr>
          </w:p>
        </w:tc>
        <w:tc>
          <w:tcPr>
            <w:tcW w:w="54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0%</w:t>
            </w:r>
          </w:p>
        </w:tc>
        <w:tc>
          <w:tcPr>
            <w:tcW w:w="80" w:type="dxa"/>
            <w:vAlign w:val="bottom"/>
          </w:tcPr>
          <w:p>
            <w:pPr>
              <w:spacing w:after="0"/>
              <w:rPr>
                <w:sz w:val="7"/>
                <w:szCs w:val="7"/>
                <w:color w:val="auto"/>
              </w:rPr>
            </w:pPr>
          </w:p>
        </w:tc>
        <w:tc>
          <w:tcPr>
            <w:tcW w:w="760" w:type="dxa"/>
            <w:vAlign w:val="bottom"/>
          </w:tcPr>
          <w:p>
            <w:pPr>
              <w:jc w:val="right"/>
              <w:ind w:right="37"/>
              <w:spacing w:after="0" w:line="83" w:lineRule="exact"/>
              <w:rPr>
                <w:sz w:val="20"/>
                <w:szCs w:val="20"/>
                <w:color w:val="auto"/>
              </w:rPr>
            </w:pPr>
            <w:r>
              <w:rPr>
                <w:rFonts w:ascii="Times New Roman" w:cs="Times New Roman" w:eastAsia="Times New Roman" w:hAnsi="Times New Roman"/>
                <w:sz w:val="9"/>
                <w:szCs w:val="9"/>
                <w:b w:val="1"/>
                <w:bCs w:val="1"/>
                <w:color w:val="auto"/>
              </w:rPr>
              <w:t>(58)%</w:t>
            </w:r>
          </w:p>
        </w:tc>
        <w:tc>
          <w:tcPr>
            <w:tcW w:w="560" w:type="dxa"/>
            <w:vAlign w:val="bottom"/>
          </w:tcPr>
          <w:p>
            <w:pPr>
              <w:jc w:val="right"/>
              <w:ind w:right="17"/>
              <w:spacing w:after="0" w:line="83" w:lineRule="exact"/>
              <w:rPr>
                <w:sz w:val="20"/>
                <w:szCs w:val="20"/>
                <w:color w:val="auto"/>
              </w:rPr>
            </w:pPr>
            <w:r>
              <w:rPr>
                <w:rFonts w:ascii="Times New Roman" w:cs="Times New Roman" w:eastAsia="Times New Roman" w:hAnsi="Times New Roman"/>
                <w:sz w:val="9"/>
                <w:szCs w:val="9"/>
                <w:b w:val="1"/>
                <w:bCs w:val="1"/>
                <w:color w:val="auto"/>
              </w:rPr>
              <w:t>(32)%</w:t>
            </w:r>
          </w:p>
        </w:tc>
        <w:tc>
          <w:tcPr>
            <w:tcW w:w="0" w:type="dxa"/>
            <w:vAlign w:val="bottom"/>
          </w:tcPr>
          <w:p>
            <w:pPr>
              <w:spacing w:after="0"/>
              <w:rPr>
                <w:sz w:val="1"/>
                <w:szCs w:val="1"/>
                <w:color w:val="auto"/>
              </w:rPr>
            </w:pPr>
          </w:p>
        </w:tc>
      </w:tr>
      <w:tr>
        <w:trPr>
          <w:trHeight w:val="93"/>
        </w:trPr>
        <w:tc>
          <w:tcPr>
            <w:tcW w:w="4180" w:type="dxa"/>
            <w:vAlign w:val="bottom"/>
            <w:gridSpan w:val="2"/>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180" w:type="dxa"/>
            <w:vAlign w:val="bottom"/>
            <w:gridSpan w:val="2"/>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Total depreciation, amortization, general and administrative expense</w:t>
            </w:r>
          </w:p>
        </w:tc>
        <w:tc>
          <w:tcPr>
            <w:tcW w:w="180" w:type="dxa"/>
            <w:vAlign w:val="bottom"/>
            <w:gridSpan w:val="2"/>
          </w:tcPr>
          <w:p>
            <w:pPr>
              <w:jc w:val="right"/>
              <w:ind w:right="33"/>
              <w:spacing w:after="0" w:line="94" w:lineRule="exact"/>
              <w:rPr>
                <w:sz w:val="20"/>
                <w:szCs w:val="20"/>
                <w:color w:val="auto"/>
              </w:rPr>
            </w:pPr>
            <w:r>
              <w:rPr>
                <w:rFonts w:ascii="Times New Roman" w:cs="Times New Roman" w:eastAsia="Times New Roman" w:hAnsi="Times New Roman"/>
                <w:sz w:val="9"/>
                <w:szCs w:val="9"/>
                <w:b w:val="1"/>
                <w:bCs w:val="1"/>
                <w:color w:val="auto"/>
              </w:rPr>
              <w:t>$</w:t>
            </w: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b w:val="1"/>
                <w:bCs w:val="1"/>
                <w:color w:val="auto"/>
              </w:rPr>
              <w:t>(3,105)</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9"/>
              </w:rPr>
              <w:t>6%</w:t>
            </w: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b w:val="1"/>
                <w:bCs w:val="1"/>
                <w:color w:val="auto"/>
              </w:rPr>
              <w:t>(3,511)</w:t>
            </w:r>
          </w:p>
        </w:tc>
        <w:tc>
          <w:tcPr>
            <w:tcW w:w="20" w:type="dxa"/>
            <w:vAlign w:val="bottom"/>
          </w:tcPr>
          <w:p>
            <w:pPr>
              <w:spacing w:after="0"/>
              <w:rPr>
                <w:sz w:val="8"/>
                <w:szCs w:val="8"/>
                <w:color w:val="auto"/>
              </w:rPr>
            </w:pP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9"/>
              </w:rPr>
              <w:t>6%</w:t>
            </w:r>
          </w:p>
        </w:tc>
        <w:tc>
          <w:tcPr>
            <w:tcW w:w="180" w:type="dxa"/>
            <w:vAlign w:val="bottom"/>
            <w:gridSpan w:val="2"/>
          </w:tcPr>
          <w:p>
            <w:pPr>
              <w:jc w:val="right"/>
              <w:ind w:right="53"/>
              <w:spacing w:after="0" w:line="94" w:lineRule="exact"/>
              <w:rPr>
                <w:sz w:val="20"/>
                <w:szCs w:val="20"/>
                <w:color w:val="auto"/>
              </w:rPr>
            </w:pPr>
            <w:r>
              <w:rPr>
                <w:rFonts w:ascii="Times New Roman" w:cs="Times New Roman" w:eastAsia="Times New Roman" w:hAnsi="Times New Roman"/>
                <w:sz w:val="9"/>
                <w:szCs w:val="9"/>
                <w:b w:val="1"/>
                <w:bCs w:val="1"/>
                <w:color w:val="auto"/>
              </w:rPr>
              <w:t>$</w:t>
            </w:r>
          </w:p>
        </w:tc>
        <w:tc>
          <w:tcPr>
            <w:tcW w:w="72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b w:val="1"/>
                <w:bCs w:val="1"/>
                <w:color w:val="auto"/>
              </w:rPr>
              <w:t>(9,716)</w:t>
            </w:r>
          </w:p>
        </w:tc>
        <w:tc>
          <w:tcPr>
            <w:tcW w:w="40" w:type="dxa"/>
            <w:vAlign w:val="bottom"/>
          </w:tcPr>
          <w:p>
            <w:pPr>
              <w:spacing w:after="0"/>
              <w:rPr>
                <w:sz w:val="8"/>
                <w:szCs w:val="8"/>
                <w:color w:val="auto"/>
              </w:rPr>
            </w:pPr>
          </w:p>
        </w:tc>
        <w:tc>
          <w:tcPr>
            <w:tcW w:w="56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9"/>
              </w:rPr>
              <w:t>7%</w:t>
            </w:r>
          </w:p>
        </w:tc>
        <w:tc>
          <w:tcPr>
            <w:tcW w:w="120" w:type="dxa"/>
            <w:vAlign w:val="bottom"/>
            <w:gridSpan w:val="2"/>
          </w:tcPr>
          <w:p>
            <w:pPr>
              <w:jc w:val="right"/>
              <w:ind w:right="33"/>
              <w:spacing w:after="0" w:line="94" w:lineRule="exact"/>
              <w:rPr>
                <w:sz w:val="20"/>
                <w:szCs w:val="20"/>
                <w:color w:val="auto"/>
              </w:rPr>
            </w:pPr>
            <w:r>
              <w:rPr>
                <w:rFonts w:ascii="Times New Roman" w:cs="Times New Roman" w:eastAsia="Times New Roman" w:hAnsi="Times New Roman"/>
                <w:sz w:val="9"/>
                <w:szCs w:val="9"/>
                <w:b w:val="1"/>
                <w:bCs w:val="1"/>
                <w:color w:val="auto"/>
                <w:w w:val="87"/>
              </w:rPr>
              <w:t>$</w:t>
            </w:r>
          </w:p>
        </w:tc>
        <w:tc>
          <w:tcPr>
            <w:tcW w:w="76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b w:val="1"/>
                <w:bCs w:val="1"/>
                <w:color w:val="auto"/>
              </w:rPr>
              <w:t>(10,726)</w:t>
            </w:r>
          </w:p>
        </w:tc>
        <w:tc>
          <w:tcPr>
            <w:tcW w:w="54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9"/>
              </w:rPr>
              <w:t>8%</w:t>
            </w:r>
          </w:p>
        </w:tc>
        <w:tc>
          <w:tcPr>
            <w:tcW w:w="80" w:type="dxa"/>
            <w:vAlign w:val="bottom"/>
          </w:tcPr>
          <w:p>
            <w:pPr>
              <w:spacing w:after="0"/>
              <w:rPr>
                <w:sz w:val="8"/>
                <w:szCs w:val="8"/>
                <w:color w:val="auto"/>
              </w:rPr>
            </w:pPr>
          </w:p>
        </w:tc>
        <w:tc>
          <w:tcPr>
            <w:tcW w:w="760" w:type="dxa"/>
            <w:vAlign w:val="bottom"/>
          </w:tcPr>
          <w:p>
            <w:pPr>
              <w:jc w:val="right"/>
              <w:ind w:right="37"/>
              <w:spacing w:after="0" w:line="94" w:lineRule="exact"/>
              <w:rPr>
                <w:sz w:val="20"/>
                <w:szCs w:val="20"/>
                <w:color w:val="auto"/>
              </w:rPr>
            </w:pPr>
            <w:r>
              <w:rPr>
                <w:rFonts w:ascii="Times New Roman" w:cs="Times New Roman" w:eastAsia="Times New Roman" w:hAnsi="Times New Roman"/>
                <w:sz w:val="9"/>
                <w:szCs w:val="9"/>
                <w:b w:val="1"/>
                <w:bCs w:val="1"/>
                <w:color w:val="auto"/>
              </w:rPr>
              <w:t>12%</w:t>
            </w:r>
          </w:p>
        </w:tc>
        <w:tc>
          <w:tcPr>
            <w:tcW w:w="560" w:type="dxa"/>
            <w:vAlign w:val="bottom"/>
          </w:tcPr>
          <w:p>
            <w:pPr>
              <w:jc w:val="right"/>
              <w:ind w:right="17"/>
              <w:spacing w:after="0" w:line="94" w:lineRule="exact"/>
              <w:rPr>
                <w:sz w:val="20"/>
                <w:szCs w:val="20"/>
                <w:color w:val="auto"/>
              </w:rPr>
            </w:pPr>
            <w:r>
              <w:rPr>
                <w:rFonts w:ascii="Times New Roman" w:cs="Times New Roman" w:eastAsia="Times New Roman" w:hAnsi="Times New Roman"/>
                <w:sz w:val="9"/>
                <w:szCs w:val="9"/>
                <w:b w:val="1"/>
                <w:bCs w:val="1"/>
                <w:color w:val="auto"/>
              </w:rPr>
              <w:t>9%</w:t>
            </w:r>
          </w:p>
        </w:tc>
        <w:tc>
          <w:tcPr>
            <w:tcW w:w="0" w:type="dxa"/>
            <w:vAlign w:val="bottom"/>
          </w:tcPr>
          <w:p>
            <w:pPr>
              <w:spacing w:after="0"/>
              <w:rPr>
                <w:sz w:val="1"/>
                <w:szCs w:val="1"/>
                <w:color w:val="auto"/>
              </w:rPr>
            </w:pPr>
          </w:p>
        </w:tc>
      </w:tr>
      <w:tr>
        <w:trPr>
          <w:trHeight w:val="92"/>
        </w:trPr>
        <w:tc>
          <w:tcPr>
            <w:tcW w:w="1200" w:type="dxa"/>
            <w:vAlign w:val="bottom"/>
            <w:tcBorders>
              <w:top w:val="single" w:sz="8" w:color="CCEEFF"/>
            </w:tcBorders>
            <w:shd w:val="clear" w:color="auto" w:fill="CCEEFF"/>
          </w:tcPr>
          <w:p>
            <w:pPr>
              <w:spacing w:after="0"/>
              <w:rPr>
                <w:sz w:val="7"/>
                <w:szCs w:val="7"/>
                <w:color w:val="auto"/>
              </w:rPr>
            </w:pPr>
          </w:p>
        </w:tc>
        <w:tc>
          <w:tcPr>
            <w:tcW w:w="29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180" w:type="dxa"/>
            <w:vAlign w:val="bottom"/>
            <w:gridSpan w:val="2"/>
          </w:tcPr>
          <w:p>
            <w:pPr>
              <w:spacing w:after="0" w:line="94" w:lineRule="exact"/>
              <w:rPr>
                <w:sz w:val="20"/>
                <w:szCs w:val="20"/>
                <w:color w:val="auto"/>
              </w:rPr>
            </w:pPr>
            <w:r>
              <w:rPr>
                <w:rFonts w:ascii="Times New Roman" w:cs="Times New Roman" w:eastAsia="Times New Roman" w:hAnsi="Times New Roman"/>
                <w:sz w:val="9"/>
                <w:szCs w:val="9"/>
                <w:b w:val="1"/>
                <w:bCs w:val="1"/>
                <w:color w:val="auto"/>
              </w:rPr>
              <w:t>OPERATING INCOME (LOSS) – CINEMA</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United States</w:t>
            </w:r>
          </w:p>
        </w:tc>
        <w:tc>
          <w:tcPr>
            <w:tcW w:w="2980" w:type="dxa"/>
            <w:vAlign w:val="bottom"/>
            <w:shd w:val="clear" w:color="auto" w:fill="CCEEFF"/>
          </w:tcPr>
          <w:p>
            <w:pPr>
              <w:spacing w:after="0"/>
              <w:rPr>
                <w:sz w:val="8"/>
                <w:szCs w:val="8"/>
                <w:color w:val="auto"/>
              </w:rPr>
            </w:pPr>
          </w:p>
        </w:tc>
        <w:tc>
          <w:tcPr>
            <w:tcW w:w="180" w:type="dxa"/>
            <w:vAlign w:val="bottom"/>
            <w:gridSpan w:val="2"/>
            <w:shd w:val="clear" w:color="auto" w:fill="CCEEFF"/>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rPr>
              <w:t>$</w:t>
            </w: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(72)</w:t>
            </w: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(957)</w:t>
            </w: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180" w:type="dxa"/>
            <w:vAlign w:val="bottom"/>
            <w:gridSpan w:val="2"/>
            <w:shd w:val="clear" w:color="auto" w:fill="CCEEFF"/>
          </w:tcPr>
          <w:p>
            <w:pPr>
              <w:jc w:val="right"/>
              <w:ind w:right="53"/>
              <w:spacing w:after="0" w:line="94"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(924)</w:t>
            </w: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120" w:type="dxa"/>
            <w:vAlign w:val="bottom"/>
            <w:gridSpan w:val="2"/>
            <w:shd w:val="clear" w:color="auto" w:fill="CCEEFF"/>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w w:val="87"/>
              </w:rPr>
              <w:t>$</w:t>
            </w:r>
          </w:p>
        </w:tc>
        <w:tc>
          <w:tcPr>
            <w:tcW w:w="76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(8,825)</w:t>
            </w:r>
          </w:p>
        </w:tc>
        <w:tc>
          <w:tcPr>
            <w:tcW w:w="54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88"/>
              </w:rPr>
              <w:t>(6)%</w:t>
            </w: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92%</w:t>
            </w:r>
          </w:p>
        </w:tc>
        <w:tc>
          <w:tcPr>
            <w:tcW w:w="56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90%</w:t>
            </w:r>
          </w:p>
        </w:tc>
        <w:tc>
          <w:tcPr>
            <w:tcW w:w="0" w:type="dxa"/>
            <w:vAlign w:val="bottom"/>
          </w:tcPr>
          <w:p>
            <w:pPr>
              <w:spacing w:after="0"/>
              <w:rPr>
                <w:sz w:val="1"/>
                <w:szCs w:val="1"/>
                <w:color w:val="auto"/>
              </w:rPr>
            </w:pPr>
          </w:p>
        </w:tc>
      </w:tr>
      <w:tr>
        <w:trPr>
          <w:trHeight w:val="93"/>
        </w:trPr>
        <w:tc>
          <w:tcPr>
            <w:tcW w:w="1200" w:type="dxa"/>
            <w:vAlign w:val="bottom"/>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Australia</w:t>
            </w:r>
          </w:p>
        </w:tc>
        <w:tc>
          <w:tcPr>
            <w:tcW w:w="2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1,818</w:t>
            </w: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4%</w:t>
            </w:r>
          </w:p>
        </w:tc>
        <w:tc>
          <w:tcPr>
            <w:tcW w:w="100" w:type="dxa"/>
            <w:vAlign w:val="bottom"/>
          </w:tcPr>
          <w:p>
            <w:pPr>
              <w:spacing w:after="0"/>
              <w:rPr>
                <w:sz w:val="8"/>
                <w:szCs w:val="8"/>
                <w:color w:val="auto"/>
              </w:rPr>
            </w:pPr>
          </w:p>
        </w:tc>
        <w:tc>
          <w:tcPr>
            <w:tcW w:w="74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2,918</w:t>
            </w:r>
          </w:p>
        </w:tc>
        <w:tc>
          <w:tcPr>
            <w:tcW w:w="52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5%</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tcPr>
          <w:p>
            <w:pPr>
              <w:jc w:val="right"/>
              <w:ind w:right="40"/>
              <w:spacing w:after="0" w:line="94" w:lineRule="exact"/>
              <w:rPr>
                <w:sz w:val="20"/>
                <w:szCs w:val="20"/>
                <w:color w:val="auto"/>
              </w:rPr>
            </w:pPr>
            <w:r>
              <w:rPr>
                <w:rFonts w:ascii="Times New Roman" w:cs="Times New Roman" w:eastAsia="Times New Roman" w:hAnsi="Times New Roman"/>
                <w:sz w:val="9"/>
                <w:szCs w:val="9"/>
                <w:color w:val="auto"/>
              </w:rPr>
              <w:t>3,763</w:t>
            </w:r>
          </w:p>
        </w:tc>
        <w:tc>
          <w:tcPr>
            <w:tcW w:w="56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3%</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2,337</w:t>
            </w:r>
          </w:p>
        </w:tc>
        <w:tc>
          <w:tcPr>
            <w:tcW w:w="54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80" w:type="dxa"/>
            <w:vAlign w:val="bottom"/>
          </w:tcPr>
          <w:p>
            <w:pPr>
              <w:spacing w:after="0"/>
              <w:rPr>
                <w:sz w:val="8"/>
                <w:szCs w:val="8"/>
                <w:color w:val="auto"/>
              </w:rPr>
            </w:pPr>
          </w:p>
        </w:tc>
        <w:tc>
          <w:tcPr>
            <w:tcW w:w="76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(38)%</w:t>
            </w:r>
          </w:p>
        </w:tc>
        <w:tc>
          <w:tcPr>
            <w:tcW w:w="560" w:type="dxa"/>
            <w:vAlign w:val="bottom"/>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61%</w:t>
            </w:r>
          </w:p>
        </w:tc>
        <w:tc>
          <w:tcPr>
            <w:tcW w:w="0" w:type="dxa"/>
            <w:vAlign w:val="bottom"/>
          </w:tcPr>
          <w:p>
            <w:pPr>
              <w:spacing w:after="0"/>
              <w:rPr>
                <w:sz w:val="1"/>
                <w:szCs w:val="1"/>
                <w:color w:val="auto"/>
              </w:rPr>
            </w:pPr>
          </w:p>
        </w:tc>
      </w:tr>
      <w:tr>
        <w:trPr>
          <w:trHeight w:val="93"/>
        </w:trPr>
        <w:tc>
          <w:tcPr>
            <w:tcW w:w="1200" w:type="dxa"/>
            <w:vAlign w:val="bottom"/>
            <w:shd w:val="clear" w:color="auto" w:fill="CCEEFF"/>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New Zealand</w:t>
            </w:r>
          </w:p>
        </w:tc>
        <w:tc>
          <w:tcPr>
            <w:tcW w:w="2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10</w:t>
            </w: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252</w:t>
            </w:r>
          </w:p>
        </w:tc>
        <w:tc>
          <w:tcPr>
            <w:tcW w:w="52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(107)</w:t>
            </w: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
              <w:spacing w:after="0" w:line="94" w:lineRule="exact"/>
              <w:rPr>
                <w:sz w:val="20"/>
                <w:szCs w:val="20"/>
                <w:color w:val="auto"/>
              </w:rPr>
            </w:pPr>
            <w:r>
              <w:rPr>
                <w:rFonts w:ascii="Times New Roman" w:cs="Times New Roman" w:eastAsia="Times New Roman" w:hAnsi="Times New Roman"/>
                <w:sz w:val="9"/>
                <w:szCs w:val="9"/>
                <w:color w:val="auto"/>
              </w:rPr>
              <w:t>(75)</w:t>
            </w:r>
          </w:p>
        </w:tc>
        <w:tc>
          <w:tcPr>
            <w:tcW w:w="54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88"/>
              </w:rPr>
              <w:t>(0)%</w:t>
            </w: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(96)%</w:t>
            </w:r>
          </w:p>
        </w:tc>
        <w:tc>
          <w:tcPr>
            <w:tcW w:w="56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color w:val="auto"/>
              </w:rPr>
              <w:t>(43)%</w:t>
            </w:r>
          </w:p>
        </w:tc>
        <w:tc>
          <w:tcPr>
            <w:tcW w:w="0" w:type="dxa"/>
            <w:vAlign w:val="bottom"/>
          </w:tcPr>
          <w:p>
            <w:pPr>
              <w:spacing w:after="0"/>
              <w:rPr>
                <w:sz w:val="1"/>
                <w:szCs w:val="1"/>
                <w:color w:val="auto"/>
              </w:rPr>
            </w:pPr>
          </w:p>
        </w:tc>
      </w:tr>
      <w:tr>
        <w:trPr>
          <w:trHeight w:val="82"/>
        </w:trPr>
        <w:tc>
          <w:tcPr>
            <w:tcW w:w="4180" w:type="dxa"/>
            <w:vAlign w:val="bottom"/>
            <w:gridSpan w:val="2"/>
          </w:tcPr>
          <w:p>
            <w:pPr>
              <w:ind w:left="220"/>
              <w:spacing w:after="0" w:line="83" w:lineRule="exact"/>
              <w:rPr>
                <w:sz w:val="20"/>
                <w:szCs w:val="20"/>
                <w:color w:val="auto"/>
              </w:rPr>
            </w:pPr>
            <w:r>
              <w:rPr>
                <w:rFonts w:ascii="Times New Roman" w:cs="Times New Roman" w:eastAsia="Times New Roman" w:hAnsi="Times New Roman"/>
                <w:sz w:val="9"/>
                <w:szCs w:val="9"/>
                <w:b w:val="1"/>
                <w:bCs w:val="1"/>
                <w:color w:val="auto"/>
              </w:rPr>
              <w:t>Total Cinema operating income (loss)</w:t>
            </w:r>
          </w:p>
        </w:tc>
        <w:tc>
          <w:tcPr>
            <w:tcW w:w="80" w:type="dxa"/>
            <w:vAlign w:val="bottom"/>
          </w:tcPr>
          <w:p>
            <w:pPr>
              <w:spacing w:after="0"/>
              <w:rPr>
                <w:sz w:val="7"/>
                <w:szCs w:val="7"/>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1,756</w:t>
            </w:r>
          </w:p>
        </w:tc>
        <w:tc>
          <w:tcPr>
            <w:tcW w:w="20" w:type="dxa"/>
            <w:vAlign w:val="bottom"/>
          </w:tcPr>
          <w:p>
            <w:pPr>
              <w:spacing w:after="0"/>
              <w:rPr>
                <w:sz w:val="7"/>
                <w:szCs w:val="7"/>
                <w:color w:val="auto"/>
              </w:rPr>
            </w:pPr>
          </w:p>
        </w:tc>
        <w:tc>
          <w:tcPr>
            <w:tcW w:w="52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4%</w:t>
            </w: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2,213</w:t>
            </w:r>
          </w:p>
        </w:tc>
        <w:tc>
          <w:tcPr>
            <w:tcW w:w="20" w:type="dxa"/>
            <w:vAlign w:val="bottom"/>
          </w:tcPr>
          <w:p>
            <w:pPr>
              <w:spacing w:after="0"/>
              <w:rPr>
                <w:sz w:val="7"/>
                <w:szCs w:val="7"/>
                <w:color w:val="auto"/>
              </w:rPr>
            </w:pPr>
          </w:p>
        </w:tc>
        <w:tc>
          <w:tcPr>
            <w:tcW w:w="52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4%</w:t>
            </w:r>
          </w:p>
        </w:tc>
        <w:tc>
          <w:tcPr>
            <w:tcW w:w="60" w:type="dxa"/>
            <w:vAlign w:val="bottom"/>
          </w:tcPr>
          <w:p>
            <w:pPr>
              <w:spacing w:after="0"/>
              <w:rPr>
                <w:sz w:val="7"/>
                <w:szCs w:val="7"/>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2,732</w:t>
            </w:r>
          </w:p>
        </w:tc>
        <w:tc>
          <w:tcPr>
            <w:tcW w:w="40" w:type="dxa"/>
            <w:vAlign w:val="bottom"/>
          </w:tcPr>
          <w:p>
            <w:pPr>
              <w:spacing w:after="0"/>
              <w:rPr>
                <w:sz w:val="7"/>
                <w:szCs w:val="7"/>
                <w:color w:val="auto"/>
              </w:rPr>
            </w:pPr>
          </w:p>
        </w:tc>
        <w:tc>
          <w:tcPr>
            <w:tcW w:w="56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2%</w:t>
            </w:r>
          </w:p>
        </w:tc>
        <w:tc>
          <w:tcPr>
            <w:tcW w:w="20" w:type="dxa"/>
            <w:vAlign w:val="bottom"/>
            <w:tcBorders>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tcBorders>
              <w:top w:val="single" w:sz="8" w:color="auto"/>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(6,563)</w:t>
            </w:r>
          </w:p>
        </w:tc>
        <w:tc>
          <w:tcPr>
            <w:tcW w:w="20" w:type="dxa"/>
            <w:vAlign w:val="bottom"/>
            <w:tcBorders>
              <w:bottom w:val="single" w:sz="8" w:color="auto"/>
            </w:tcBorders>
          </w:tcPr>
          <w:p>
            <w:pPr>
              <w:spacing w:after="0"/>
              <w:rPr>
                <w:sz w:val="7"/>
                <w:szCs w:val="7"/>
                <w:color w:val="auto"/>
              </w:rPr>
            </w:pPr>
          </w:p>
        </w:tc>
        <w:tc>
          <w:tcPr>
            <w:tcW w:w="54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88"/>
              </w:rPr>
              <w:t>(5)%</w:t>
            </w:r>
          </w:p>
        </w:tc>
        <w:tc>
          <w:tcPr>
            <w:tcW w:w="80" w:type="dxa"/>
            <w:vAlign w:val="bottom"/>
          </w:tcPr>
          <w:p>
            <w:pPr>
              <w:spacing w:after="0"/>
              <w:rPr>
                <w:sz w:val="7"/>
                <w:szCs w:val="7"/>
                <w:color w:val="auto"/>
              </w:rPr>
            </w:pPr>
          </w:p>
        </w:tc>
        <w:tc>
          <w:tcPr>
            <w:tcW w:w="760" w:type="dxa"/>
            <w:vAlign w:val="bottom"/>
          </w:tcPr>
          <w:p>
            <w:pPr>
              <w:jc w:val="right"/>
              <w:ind w:right="37"/>
              <w:spacing w:after="0" w:line="83" w:lineRule="exact"/>
              <w:rPr>
                <w:sz w:val="20"/>
                <w:szCs w:val="20"/>
                <w:color w:val="auto"/>
              </w:rPr>
            </w:pPr>
            <w:r>
              <w:rPr>
                <w:rFonts w:ascii="Times New Roman" w:cs="Times New Roman" w:eastAsia="Times New Roman" w:hAnsi="Times New Roman"/>
                <w:sz w:val="9"/>
                <w:szCs w:val="9"/>
                <w:b w:val="1"/>
                <w:bCs w:val="1"/>
                <w:color w:val="auto"/>
              </w:rPr>
              <w:t>(21)%</w:t>
            </w:r>
          </w:p>
        </w:tc>
        <w:tc>
          <w:tcPr>
            <w:tcW w:w="560" w:type="dxa"/>
            <w:vAlign w:val="bottom"/>
          </w:tcPr>
          <w:p>
            <w:pPr>
              <w:jc w:val="right"/>
              <w:ind w:right="17"/>
              <w:spacing w:after="0" w:line="83" w:lineRule="exact"/>
              <w:rPr>
                <w:sz w:val="20"/>
                <w:szCs w:val="20"/>
                <w:color w:val="auto"/>
              </w:rPr>
            </w:pPr>
            <w:r>
              <w:rPr>
                <w:rFonts w:ascii="Times New Roman" w:cs="Times New Roman" w:eastAsia="Times New Roman" w:hAnsi="Times New Roman"/>
                <w:sz w:val="9"/>
                <w:szCs w:val="9"/>
                <w:b w:val="1"/>
                <w:bCs w:val="1"/>
                <w:color w:val="auto"/>
              </w:rPr>
              <w:t>&gt;100%</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246"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Third Quarter Results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 xml:space="preserve">For the quarter ended September 30, 2025, cinema revenue decreased by $7.8 million, to $48.6 million compared to the same period in the prior year. This decrease was primarily due to a global decrease in cinema revenues driven by a weaker film slate compared to Q3 2024 when </w:t>
      </w:r>
      <w:r>
        <w:rPr>
          <w:rFonts w:ascii="Times New Roman" w:cs="Times New Roman" w:eastAsia="Times New Roman" w:hAnsi="Times New Roman"/>
          <w:sz w:val="12"/>
          <w:szCs w:val="12"/>
          <w:i w:val="1"/>
          <w:iCs w:val="1"/>
          <w:color w:val="auto"/>
        </w:rPr>
        <w:t>Deadpool &amp; Wolverine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Beetlejuice Beetlejuice, Despicable Me 4, Twisters and It Ends with Us</w:t>
      </w:r>
      <w:r>
        <w:rPr>
          <w:rFonts w:ascii="Times New Roman" w:cs="Times New Roman" w:eastAsia="Times New Roman" w:hAnsi="Times New Roman"/>
          <w:sz w:val="12"/>
          <w:szCs w:val="12"/>
          <w:color w:val="auto"/>
        </w:rPr>
        <w:t xml:space="preserve"> were released, coupled with a weakening of AU/NZ foreign exchange rates. Cinema revenue was also adversely impacted by the closure of an underperforming cinema complex in the second quarter 2025.</w:t>
      </w:r>
    </w:p>
    <w:p>
      <w:pPr>
        <w:spacing w:after="0" w:line="1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2"/>
          <w:szCs w:val="12"/>
          <w:color w:val="auto"/>
        </w:rPr>
        <w:t xml:space="preserve">For the nine months ended September 30, 2025, cinema revenue increased by $1.2 million, to $141.7 million compared to the same period in the prior year. This increase was primarily driven by (i) a global increase in box office due to a stronger movie slate as </w:t>
      </w:r>
      <w:r>
        <w:rPr>
          <w:rFonts w:ascii="Times New Roman" w:cs="Times New Roman" w:eastAsia="Times New Roman" w:hAnsi="Times New Roman"/>
          <w:sz w:val="12"/>
          <w:szCs w:val="12"/>
          <w:i w:val="1"/>
          <w:iCs w:val="1"/>
          <w:color w:val="auto"/>
        </w:rPr>
        <w:t>Lilo &amp; Stitch</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A Minecraft Movie</w:t>
      </w:r>
      <w:r>
        <w:rPr>
          <w:rFonts w:ascii="Times New Roman" w:cs="Times New Roman" w:eastAsia="Times New Roman" w:hAnsi="Times New Roman"/>
          <w:sz w:val="12"/>
          <w:szCs w:val="12"/>
          <w:color w:val="auto"/>
        </w:rPr>
        <w:t xml:space="preserve"> released during the second quarter of 2025, and (ii) higher Food &amp; Beverage revenues in our U.S. cinema circuit due to increased attendance combined with higher F&amp;B SPP. Our results were partially offset by lower Food &amp; Beverage revenue in AU and NZ and a weakening of AU and NZ foreign exchange rates against the U.S. dollar. Revenues were adversely impacted by the closure of underperforming cinema complexes in the second quarter of each of 2024 and 2025.</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Cinema Segment Operating Income/(Loss)</w:t>
      </w:r>
    </w:p>
    <w:p>
      <w:pPr>
        <w:spacing w:after="0" w:line="1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2"/>
          <w:szCs w:val="12"/>
          <w:color w:val="auto"/>
        </w:rPr>
        <w:t>Cinema segment operating income for the quarter ended September 30, 2025, decreased by $0.5 million, from $2.2 million to $1.8 million when compared to the same period in the prior year. The decrease in operating income is due to a reduction in cinema revenue in all three countries from decreased attendance, partially offset by a decrease in operating expenses, occupancy expenses and a decrease in depreciation and amortization globally.</w:t>
      </w:r>
    </w:p>
    <w:p>
      <w:pPr>
        <w:spacing w:after="0" w:line="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2"/>
          <w:szCs w:val="12"/>
          <w:color w:val="auto"/>
        </w:rPr>
        <w:t>Cinema segment operating income for the nine months ended September 30, 2025, increased by $9.3 million, from a loss of $6.6 million to an income of $2.7 million when compared to the same period in the prior year primarily due to (i) increased cinema revenues from a better movie slate (ii) efficiently managed cinema expenses, and (iii) a reduction in depreciation and amortization in all three countries.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w:t>
      </w:r>
    </w:p>
    <w:p>
      <w:pPr>
        <w:spacing w:after="0" w:line="1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2"/>
          <w:szCs w:val="12"/>
          <w:color w:val="auto"/>
        </w:rPr>
        <w:t>Operating expenses for the quarter ended September 30, 2025, decreased by $6.9 million, to $43.7 million, compared to the same quarter in the prior year. This decrease was primarily due to decreased global attendance resulting in lower film rent, Food and Beverage cost, and other variable costs in all three countries, plus lower US occupancy cost.</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color w:val="auto"/>
        </w:rPr>
        <w:t>Operating expenses for the nine months ended September 30, 2025, is $129.3 million, decreased by $7.1 million compared to the same time period in the prior year due to US rent negotiations, operational efficiency and closure of under performing cinemas.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Depreciation, amortization, impairment, general and administrative expense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Depreciation, amortization, impairment, and general and administrative expenses for the quarter ended September 30, 2025, decreased $0.4 million, to $3.1 million, compared to the same quarter in the prior year.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Depreciation, amortization, impairment, and general and administrative expenses for the nine months ended September 30, 2025, decreased $1.0 million, to $9.7 million, compared to the same period in the prior year.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246"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Real Estate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details our real estate segment operating results for the quarter and nine months ended September 30, 2025 and September 30, 2024, respectively: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7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7"/>
                <w:szCs w:val="7"/>
                <w:b w:val="1"/>
                <w:bCs w:val="1"/>
                <w:color w:val="auto"/>
              </w:rPr>
              <w:t>Quarter Ended</w:t>
            </w:r>
          </w:p>
        </w:tc>
        <w:tc>
          <w:tcPr>
            <w:tcW w:w="4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7"/>
                <w:szCs w:val="7"/>
                <w:b w:val="1"/>
                <w:bCs w:val="1"/>
                <w:color w:val="auto"/>
              </w:rPr>
              <w:t>Nine Months Ended</w:t>
            </w: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tcBorders>
              <w:bottom w:val="single" w:sz="8" w:color="auto"/>
            </w:tcBorders>
            <w:gridSpan w:val="2"/>
          </w:tcPr>
          <w:p>
            <w:pPr>
              <w:jc w:val="right"/>
              <w:ind w:right="437"/>
              <w:spacing w:after="0"/>
              <w:rPr>
                <w:sz w:val="20"/>
                <w:szCs w:val="20"/>
                <w:color w:val="auto"/>
              </w:rPr>
            </w:pPr>
            <w:r>
              <w:rPr>
                <w:rFonts w:ascii="Times New Roman" w:cs="Times New Roman" w:eastAsia="Times New Roman" w:hAnsi="Times New Roman"/>
                <w:sz w:val="7"/>
                <w:szCs w:val="7"/>
                <w:b w:val="1"/>
                <w:bCs w:val="1"/>
                <w:color w:val="auto"/>
              </w:rPr>
              <w:t>Fav/(Unfav)</w:t>
            </w:r>
          </w:p>
        </w:tc>
        <w:tc>
          <w:tcPr>
            <w:tcW w:w="0" w:type="dxa"/>
            <w:vAlign w:val="bottom"/>
          </w:tcPr>
          <w:p>
            <w:pPr>
              <w:spacing w:after="0"/>
              <w:rPr>
                <w:sz w:val="1"/>
                <w:szCs w:val="1"/>
                <w:color w:val="auto"/>
              </w:rPr>
            </w:pPr>
          </w:p>
        </w:tc>
      </w:tr>
      <w:tr>
        <w:trPr>
          <w:trHeight w:val="63"/>
        </w:trPr>
        <w:tc>
          <w:tcPr>
            <w:tcW w:w="1700" w:type="dxa"/>
            <w:vAlign w:val="bottom"/>
            <w:vMerge w:val="restart"/>
          </w:tcPr>
          <w:p>
            <w:pPr>
              <w:spacing w:after="0"/>
              <w:rPr>
                <w:sz w:val="20"/>
                <w:szCs w:val="20"/>
                <w:color w:val="auto"/>
              </w:rPr>
            </w:pPr>
            <w:r>
              <w:rPr>
                <w:rFonts w:ascii="Times New Roman" w:cs="Times New Roman" w:eastAsia="Times New Roman" w:hAnsi="Times New Roman"/>
                <w:sz w:val="7"/>
                <w:szCs w:val="7"/>
                <w:i w:val="1"/>
                <w:iCs w:val="1"/>
                <w:color w:val="auto"/>
              </w:rPr>
              <w:t>(Dollars in thousands)</w:t>
            </w:r>
          </w:p>
        </w:tc>
        <w:tc>
          <w:tcPr>
            <w:tcW w:w="2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380" w:type="dxa"/>
            <w:vAlign w:val="bottom"/>
          </w:tcPr>
          <w:p>
            <w:pPr>
              <w:jc w:val="center"/>
              <w:spacing w:after="0" w:line="64" w:lineRule="exact"/>
              <w:rPr>
                <w:sz w:val="20"/>
                <w:szCs w:val="20"/>
                <w:color w:val="auto"/>
              </w:rPr>
            </w:pPr>
            <w:r>
              <w:rPr>
                <w:rFonts w:ascii="Times New Roman" w:cs="Times New Roman" w:eastAsia="Times New Roman" w:hAnsi="Times New Roman"/>
                <w:sz w:val="7"/>
                <w:szCs w:val="7"/>
                <w:b w:val="1"/>
                <w:bCs w:val="1"/>
                <w:i w:val="1"/>
                <w:iCs w:val="1"/>
                <w:color w:val="auto"/>
              </w:rPr>
              <w:t>% of</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tcPr>
          <w:p>
            <w:pPr>
              <w:jc w:val="right"/>
              <w:ind w:right="220"/>
              <w:spacing w:after="0" w:line="6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460" w:type="dxa"/>
            <w:vAlign w:val="bottom"/>
          </w:tcPr>
          <w:p>
            <w:pPr>
              <w:jc w:val="center"/>
              <w:ind w:right="17"/>
              <w:spacing w:after="0" w:line="64" w:lineRule="exact"/>
              <w:rPr>
                <w:sz w:val="20"/>
                <w:szCs w:val="20"/>
                <w:color w:val="auto"/>
              </w:rPr>
            </w:pPr>
            <w:r>
              <w:rPr>
                <w:rFonts w:ascii="Times New Roman" w:cs="Times New Roman" w:eastAsia="Times New Roman" w:hAnsi="Times New Roman"/>
                <w:sz w:val="7"/>
                <w:szCs w:val="7"/>
                <w:b w:val="1"/>
                <w:bCs w:val="1"/>
                <w:i w:val="1"/>
                <w:iCs w:val="1"/>
                <w:color w:val="auto"/>
              </w:rPr>
              <w:t>% of</w:t>
            </w: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tcPr>
          <w:p>
            <w:pPr>
              <w:jc w:val="right"/>
              <w:ind w:right="200"/>
              <w:spacing w:after="0" w:line="6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460" w:type="dxa"/>
            <w:vAlign w:val="bottom"/>
          </w:tcPr>
          <w:p>
            <w:pPr>
              <w:ind w:left="120"/>
              <w:spacing w:after="0" w:line="64" w:lineRule="exact"/>
              <w:rPr>
                <w:sz w:val="20"/>
                <w:szCs w:val="20"/>
                <w:color w:val="auto"/>
              </w:rPr>
            </w:pPr>
            <w:r>
              <w:rPr>
                <w:rFonts w:ascii="Times New Roman" w:cs="Times New Roman" w:eastAsia="Times New Roman" w:hAnsi="Times New Roman"/>
                <w:sz w:val="7"/>
                <w:szCs w:val="7"/>
                <w:b w:val="1"/>
                <w:bCs w:val="1"/>
                <w:i w:val="1"/>
                <w:iCs w:val="1"/>
                <w:color w:val="auto"/>
              </w:rPr>
              <w:t>% of</w:t>
            </w:r>
          </w:p>
        </w:tc>
        <w:tc>
          <w:tcPr>
            <w:tcW w:w="80" w:type="dxa"/>
            <w:vAlign w:val="bottom"/>
          </w:tcPr>
          <w:p>
            <w:pPr>
              <w:spacing w:after="0"/>
              <w:rPr>
                <w:sz w:val="5"/>
                <w:szCs w:val="5"/>
                <w:color w:val="auto"/>
              </w:rPr>
            </w:pPr>
          </w:p>
        </w:tc>
        <w:tc>
          <w:tcPr>
            <w:tcW w:w="74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7"/>
                <w:szCs w:val="7"/>
                <w:b w:val="1"/>
                <w:bCs w:val="1"/>
                <w:color w:val="auto"/>
              </w:rPr>
              <w:t>September 30,</w:t>
            </w:r>
          </w:p>
        </w:tc>
        <w:tc>
          <w:tcPr>
            <w:tcW w:w="440" w:type="dxa"/>
            <w:vAlign w:val="bottom"/>
          </w:tcPr>
          <w:p>
            <w:pPr>
              <w:jc w:val="center"/>
              <w:ind w:right="17"/>
              <w:spacing w:after="0" w:line="64" w:lineRule="exact"/>
              <w:rPr>
                <w:sz w:val="20"/>
                <w:szCs w:val="20"/>
                <w:color w:val="auto"/>
              </w:rPr>
            </w:pPr>
            <w:r>
              <w:rPr>
                <w:rFonts w:ascii="Times New Roman" w:cs="Times New Roman" w:eastAsia="Times New Roman" w:hAnsi="Times New Roman"/>
                <w:sz w:val="7"/>
                <w:szCs w:val="7"/>
                <w:b w:val="1"/>
                <w:bCs w:val="1"/>
                <w:i w:val="1"/>
                <w:iCs w:val="1"/>
                <w:color w:val="auto"/>
              </w:rPr>
              <w:t>% of</w:t>
            </w:r>
          </w:p>
        </w:tc>
        <w:tc>
          <w:tcPr>
            <w:tcW w:w="60" w:type="dxa"/>
            <w:vAlign w:val="bottom"/>
          </w:tcPr>
          <w:p>
            <w:pPr>
              <w:spacing w:after="0"/>
              <w:rPr>
                <w:sz w:val="5"/>
                <w:szCs w:val="5"/>
                <w:color w:val="auto"/>
              </w:rPr>
            </w:pPr>
          </w:p>
        </w:tc>
        <w:tc>
          <w:tcPr>
            <w:tcW w:w="740" w:type="dxa"/>
            <w:vAlign w:val="bottom"/>
            <w:vMerge w:val="restart"/>
          </w:tcPr>
          <w:p>
            <w:pPr>
              <w:jc w:val="right"/>
              <w:ind w:right="77"/>
              <w:spacing w:after="0"/>
              <w:rPr>
                <w:sz w:val="20"/>
                <w:szCs w:val="20"/>
                <w:color w:val="auto"/>
              </w:rPr>
            </w:pPr>
            <w:r>
              <w:rPr>
                <w:rFonts w:ascii="Times New Roman" w:cs="Times New Roman" w:eastAsia="Times New Roman" w:hAnsi="Times New Roman"/>
                <w:sz w:val="7"/>
                <w:szCs w:val="7"/>
                <w:b w:val="1"/>
                <w:bCs w:val="1"/>
                <w:color w:val="auto"/>
              </w:rPr>
              <w:t>Quarter Ended</w:t>
            </w:r>
          </w:p>
        </w:tc>
        <w:tc>
          <w:tcPr>
            <w:tcW w:w="620" w:type="dxa"/>
            <w:vAlign w:val="bottom"/>
          </w:tcPr>
          <w:p>
            <w:pPr>
              <w:jc w:val="right"/>
              <w:ind w:right="77"/>
              <w:spacing w:after="0" w:line="64" w:lineRule="exact"/>
              <w:rPr>
                <w:sz w:val="20"/>
                <w:szCs w:val="20"/>
                <w:color w:val="auto"/>
              </w:rPr>
            </w:pPr>
            <w:r>
              <w:rPr>
                <w:rFonts w:ascii="Times New Roman" w:cs="Times New Roman" w:eastAsia="Times New Roman" w:hAnsi="Times New Roman"/>
                <w:sz w:val="7"/>
                <w:szCs w:val="7"/>
                <w:b w:val="1"/>
                <w:bCs w:val="1"/>
                <w:color w:val="auto"/>
              </w:rPr>
              <w:t>Nine Months</w:t>
            </w:r>
          </w:p>
        </w:tc>
        <w:tc>
          <w:tcPr>
            <w:tcW w:w="0" w:type="dxa"/>
            <w:vAlign w:val="bottom"/>
          </w:tcPr>
          <w:p>
            <w:pPr>
              <w:spacing w:after="0"/>
              <w:rPr>
                <w:sz w:val="1"/>
                <w:szCs w:val="1"/>
                <w:color w:val="auto"/>
              </w:rPr>
            </w:pPr>
          </w:p>
        </w:tc>
      </w:tr>
      <w:tr>
        <w:trPr>
          <w:trHeight w:val="95"/>
        </w:trPr>
        <w:tc>
          <w:tcPr>
            <w:tcW w:w="1700" w:type="dxa"/>
            <w:vAlign w:val="bottom"/>
            <w:vMerge w:val="continue"/>
          </w:tcPr>
          <w:p>
            <w:pPr>
              <w:spacing w:after="0"/>
              <w:rPr>
                <w:sz w:val="8"/>
                <w:szCs w:val="8"/>
                <w:color w:val="auto"/>
              </w:rPr>
            </w:pPr>
          </w:p>
        </w:tc>
        <w:tc>
          <w:tcPr>
            <w:tcW w:w="2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jc w:val="right"/>
              <w:ind w:right="277"/>
              <w:spacing w:after="0"/>
              <w:rPr>
                <w:sz w:val="20"/>
                <w:szCs w:val="20"/>
                <w:color w:val="auto"/>
              </w:rPr>
            </w:pPr>
            <w:r>
              <w:rPr>
                <w:rFonts w:ascii="Times New Roman" w:cs="Times New Roman" w:eastAsia="Times New Roman" w:hAnsi="Times New Roman"/>
                <w:sz w:val="7"/>
                <w:szCs w:val="7"/>
                <w:b w:val="1"/>
                <w:bCs w:val="1"/>
                <w:color w:val="auto"/>
              </w:rPr>
              <w:t>2025</w:t>
            </w:r>
          </w:p>
        </w:tc>
        <w:tc>
          <w:tcPr>
            <w:tcW w:w="60" w:type="dxa"/>
            <w:vAlign w:val="bottom"/>
          </w:tcPr>
          <w:p>
            <w:pPr>
              <w:spacing w:after="0"/>
              <w:rPr>
                <w:sz w:val="8"/>
                <w:szCs w:val="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7"/>
                <w:szCs w:val="7"/>
                <w:b w:val="1"/>
                <w:bCs w:val="1"/>
                <w:i w:val="1"/>
                <w:iCs w:val="1"/>
                <w:color w:val="auto"/>
              </w:rPr>
              <w:t>Revenue‎</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7"/>
                <w:szCs w:val="7"/>
                <w:b w:val="1"/>
                <w:bCs w:val="1"/>
                <w:color w:val="auto"/>
              </w:rPr>
              <w:t>2024‎</w:t>
            </w:r>
          </w:p>
        </w:tc>
        <w:tc>
          <w:tcPr>
            <w:tcW w:w="820" w:type="dxa"/>
            <w:vAlign w:val="bottom"/>
            <w:gridSpan w:val="2"/>
          </w:tcPr>
          <w:p>
            <w:pPr>
              <w:jc w:val="center"/>
              <w:ind w:right="420"/>
              <w:spacing w:after="0"/>
              <w:rPr>
                <w:sz w:val="20"/>
                <w:szCs w:val="20"/>
                <w:color w:val="auto"/>
              </w:rPr>
            </w:pPr>
            <w:r>
              <w:rPr>
                <w:rFonts w:ascii="Times New Roman" w:cs="Times New Roman" w:eastAsia="Times New Roman" w:hAnsi="Times New Roman"/>
                <w:sz w:val="7"/>
                <w:szCs w:val="7"/>
                <w:b w:val="1"/>
                <w:bCs w:val="1"/>
                <w:i w:val="1"/>
                <w:iCs w:val="1"/>
                <w:color w:val="auto"/>
              </w:rPr>
              <w:t>Revenue‎</w:t>
            </w:r>
          </w:p>
        </w:tc>
        <w:tc>
          <w:tcPr>
            <w:tcW w:w="100" w:type="dxa"/>
            <w:vAlign w:val="bottom"/>
          </w:tcPr>
          <w:p>
            <w:pPr>
              <w:spacing w:after="0"/>
              <w:rPr>
                <w:sz w:val="8"/>
                <w:szCs w:val="8"/>
                <w:color w:val="auto"/>
              </w:rPr>
            </w:pPr>
          </w:p>
        </w:tc>
        <w:tc>
          <w:tcPr>
            <w:tcW w:w="660" w:type="dxa"/>
            <w:vAlign w:val="bottom"/>
          </w:tcPr>
          <w:p>
            <w:pPr>
              <w:jc w:val="right"/>
              <w:ind w:right="257"/>
              <w:spacing w:after="0"/>
              <w:rPr>
                <w:sz w:val="20"/>
                <w:szCs w:val="20"/>
                <w:color w:val="auto"/>
              </w:rPr>
            </w:pPr>
            <w:r>
              <w:rPr>
                <w:rFonts w:ascii="Times New Roman" w:cs="Times New Roman" w:eastAsia="Times New Roman" w:hAnsi="Times New Roman"/>
                <w:sz w:val="7"/>
                <w:szCs w:val="7"/>
                <w:b w:val="1"/>
                <w:bCs w:val="1"/>
                <w:color w:val="auto"/>
              </w:rPr>
              <w:t>2025</w:t>
            </w:r>
          </w:p>
        </w:tc>
        <w:tc>
          <w:tcPr>
            <w:tcW w:w="60" w:type="dxa"/>
            <w:vAlign w:val="bottom"/>
          </w:tcPr>
          <w:p>
            <w:pPr>
              <w:spacing w:after="0"/>
              <w:rPr>
                <w:sz w:val="8"/>
                <w:szCs w:val="8"/>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7"/>
                <w:szCs w:val="7"/>
                <w:b w:val="1"/>
                <w:bCs w:val="1"/>
                <w:i w:val="1"/>
                <w:iCs w:val="1"/>
                <w:color w:val="auto"/>
              </w:rPr>
              <w:t>Revenue‎</w:t>
            </w:r>
          </w:p>
        </w:tc>
        <w:tc>
          <w:tcPr>
            <w:tcW w:w="80" w:type="dxa"/>
            <w:vAlign w:val="bottom"/>
          </w:tcPr>
          <w:p>
            <w:pPr>
              <w:spacing w:after="0"/>
              <w:rPr>
                <w:sz w:val="8"/>
                <w:szCs w:val="8"/>
                <w:color w:val="auto"/>
              </w:rPr>
            </w:pPr>
          </w:p>
        </w:tc>
        <w:tc>
          <w:tcPr>
            <w:tcW w:w="680" w:type="dxa"/>
            <w:vAlign w:val="bottom"/>
          </w:tcPr>
          <w:p>
            <w:pPr>
              <w:jc w:val="right"/>
              <w:ind w:right="277"/>
              <w:spacing w:after="0"/>
              <w:rPr>
                <w:sz w:val="20"/>
                <w:szCs w:val="20"/>
                <w:color w:val="auto"/>
              </w:rPr>
            </w:pPr>
            <w:r>
              <w:rPr>
                <w:rFonts w:ascii="Times New Roman" w:cs="Times New Roman" w:eastAsia="Times New Roman" w:hAnsi="Times New Roman"/>
                <w:sz w:val="7"/>
                <w:szCs w:val="7"/>
                <w:b w:val="1"/>
                <w:bCs w:val="1"/>
                <w:color w:val="auto"/>
              </w:rPr>
              <w:t>2024</w:t>
            </w:r>
          </w:p>
        </w:tc>
        <w:tc>
          <w:tcPr>
            <w:tcW w:w="60" w:type="dxa"/>
            <w:vAlign w:val="bottom"/>
          </w:tcPr>
          <w:p>
            <w:pPr>
              <w:spacing w:after="0"/>
              <w:rPr>
                <w:sz w:val="8"/>
                <w:szCs w:val="8"/>
                <w:color w:val="auto"/>
              </w:rPr>
            </w:pP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7"/>
                <w:szCs w:val="7"/>
                <w:b w:val="1"/>
                <w:bCs w:val="1"/>
                <w:i w:val="1"/>
                <w:iCs w:val="1"/>
                <w:color w:val="auto"/>
              </w:rPr>
              <w:t>Revenue‎</w:t>
            </w:r>
          </w:p>
        </w:tc>
        <w:tc>
          <w:tcPr>
            <w:tcW w:w="740" w:type="dxa"/>
            <w:vAlign w:val="bottom"/>
            <w:vMerge w:val="continue"/>
          </w:tcPr>
          <w:p>
            <w:pPr>
              <w:spacing w:after="0"/>
              <w:rPr>
                <w:sz w:val="8"/>
                <w:szCs w:val="8"/>
                <w:color w:val="auto"/>
              </w:rPr>
            </w:pPr>
          </w:p>
        </w:tc>
        <w:tc>
          <w:tcPr>
            <w:tcW w:w="620" w:type="dxa"/>
            <w:vAlign w:val="bottom"/>
          </w:tcPr>
          <w:p>
            <w:pPr>
              <w:jc w:val="right"/>
              <w:ind w:right="177"/>
              <w:spacing w:after="0"/>
              <w:rPr>
                <w:sz w:val="20"/>
                <w:szCs w:val="20"/>
                <w:color w:val="auto"/>
              </w:rPr>
            </w:pPr>
            <w:r>
              <w:rPr>
                <w:rFonts w:ascii="Times New Roman" w:cs="Times New Roman" w:eastAsia="Times New Roman" w:hAnsi="Times New Roman"/>
                <w:sz w:val="7"/>
                <w:szCs w:val="7"/>
                <w:b w:val="1"/>
                <w:bCs w:val="1"/>
                <w:color w:val="auto"/>
              </w:rPr>
              <w:t>Ended</w:t>
            </w:r>
          </w:p>
        </w:tc>
        <w:tc>
          <w:tcPr>
            <w:tcW w:w="0" w:type="dxa"/>
            <w:vAlign w:val="bottom"/>
          </w:tcPr>
          <w:p>
            <w:pPr>
              <w:spacing w:after="0"/>
              <w:rPr>
                <w:sz w:val="1"/>
                <w:szCs w:val="1"/>
                <w:color w:val="auto"/>
              </w:rPr>
            </w:pPr>
          </w:p>
        </w:tc>
      </w:tr>
      <w:tr>
        <w:trPr>
          <w:trHeight w:val="92"/>
        </w:trPr>
        <w:tc>
          <w:tcPr>
            <w:tcW w:w="1700" w:type="dxa"/>
            <w:vAlign w:val="bottom"/>
            <w:tcBorders>
              <w:top w:val="single" w:sz="8" w:color="auto"/>
            </w:tcBorders>
          </w:tcPr>
          <w:p>
            <w:pPr>
              <w:spacing w:after="0" w:line="92" w:lineRule="exact"/>
              <w:rPr>
                <w:sz w:val="20"/>
                <w:szCs w:val="20"/>
                <w:color w:val="auto"/>
              </w:rPr>
            </w:pPr>
            <w:r>
              <w:rPr>
                <w:rFonts w:ascii="Times New Roman" w:cs="Times New Roman" w:eastAsia="Times New Roman" w:hAnsi="Times New Roman"/>
                <w:sz w:val="9"/>
                <w:szCs w:val="9"/>
                <w:b w:val="1"/>
                <w:bCs w:val="1"/>
                <w:color w:val="auto"/>
              </w:rPr>
              <w:t>REVENUE</w:t>
            </w:r>
          </w:p>
        </w:tc>
        <w:tc>
          <w:tcPr>
            <w:tcW w:w="27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00" w:type="dxa"/>
            <w:vAlign w:val="bottom"/>
            <w:shd w:val="clear" w:color="auto" w:fill="CCEEFF"/>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United States</w:t>
            </w:r>
          </w:p>
        </w:tc>
        <w:tc>
          <w:tcPr>
            <w:tcW w:w="2700" w:type="dxa"/>
            <w:vAlign w:val="bottom"/>
            <w:shd w:val="clear" w:color="auto" w:fill="CCEEFF"/>
          </w:tcPr>
          <w:p>
            <w:pPr>
              <w:ind w:left="20"/>
              <w:spacing w:after="0" w:line="94" w:lineRule="exact"/>
              <w:rPr>
                <w:sz w:val="20"/>
                <w:szCs w:val="20"/>
                <w:color w:val="auto"/>
              </w:rPr>
            </w:pPr>
            <w:r>
              <w:rPr>
                <w:rFonts w:ascii="Times New Roman" w:cs="Times New Roman" w:eastAsia="Times New Roman" w:hAnsi="Times New Roman"/>
                <w:sz w:val="9"/>
                <w:szCs w:val="9"/>
                <w:color w:val="auto"/>
              </w:rPr>
              <w:t>Live theatre rental and ancillary income</w:t>
            </w:r>
          </w:p>
        </w:tc>
        <w:tc>
          <w:tcPr>
            <w:tcW w:w="120" w:type="dxa"/>
            <w:vAlign w:val="bottom"/>
            <w:shd w:val="clear" w:color="auto" w:fill="CCEEFF"/>
          </w:tcPr>
          <w:p>
            <w:pPr>
              <w:jc w:val="right"/>
              <w:ind w:right="17"/>
              <w:spacing w:after="0" w:line="94" w:lineRule="exact"/>
              <w:rPr>
                <w:sz w:val="20"/>
                <w:szCs w:val="20"/>
                <w:color w:val="auto"/>
              </w:rPr>
            </w:pPr>
            <w:r>
              <w:rPr>
                <w:rFonts w:ascii="Times New Roman" w:cs="Times New Roman" w:eastAsia="Times New Roman" w:hAnsi="Times New Roman"/>
                <w:sz w:val="9"/>
                <w:szCs w:val="9"/>
                <w:color w:val="auto"/>
                <w:w w:val="87"/>
              </w:rPr>
              <w:t>$</w:t>
            </w:r>
          </w:p>
        </w:tc>
        <w:tc>
          <w:tcPr>
            <w:tcW w:w="74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902</w:t>
            </w:r>
          </w:p>
        </w:tc>
        <w:tc>
          <w:tcPr>
            <w:tcW w:w="38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20%</w:t>
            </w:r>
          </w:p>
        </w:tc>
        <w:tc>
          <w:tcPr>
            <w:tcW w:w="160" w:type="dxa"/>
            <w:vAlign w:val="bottom"/>
            <w:gridSpan w:val="2"/>
            <w:shd w:val="clear" w:color="auto" w:fill="CCEEFF"/>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391</w:t>
            </w:r>
          </w:p>
        </w:tc>
        <w:tc>
          <w:tcPr>
            <w:tcW w:w="460" w:type="dxa"/>
            <w:vAlign w:val="bottom"/>
            <w:shd w:val="clear" w:color="auto" w:fill="CCEEFF"/>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8%</w:t>
            </w: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2,075</w:t>
            </w:r>
          </w:p>
        </w:tc>
        <w:tc>
          <w:tcPr>
            <w:tcW w:w="460" w:type="dxa"/>
            <w:vAlign w:val="bottom"/>
            <w:shd w:val="clear" w:color="auto" w:fill="CCEEFF"/>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6"/>
              </w:rPr>
              <w:t>15%</w:t>
            </w:r>
          </w:p>
        </w:tc>
        <w:tc>
          <w:tcPr>
            <w:tcW w:w="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1,220</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center"/>
              <w:ind w:right="37"/>
              <w:spacing w:after="0" w:line="94" w:lineRule="exact"/>
              <w:rPr>
                <w:sz w:val="20"/>
                <w:szCs w:val="20"/>
                <w:color w:val="auto"/>
              </w:rPr>
            </w:pPr>
            <w:r>
              <w:rPr>
                <w:rFonts w:ascii="Times New Roman" w:cs="Times New Roman" w:eastAsia="Times New Roman" w:hAnsi="Times New Roman"/>
                <w:sz w:val="9"/>
                <w:szCs w:val="9"/>
                <w:i w:val="1"/>
                <w:iCs w:val="1"/>
                <w:color w:val="auto"/>
                <w:w w:val="99"/>
              </w:rPr>
              <w:t>8%</w:t>
            </w: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&gt;100%</w:t>
            </w:r>
          </w:p>
        </w:tc>
        <w:tc>
          <w:tcPr>
            <w:tcW w:w="62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70%</w:t>
            </w:r>
          </w:p>
        </w:tc>
        <w:tc>
          <w:tcPr>
            <w:tcW w:w="0" w:type="dxa"/>
            <w:vAlign w:val="bottom"/>
          </w:tcPr>
          <w:p>
            <w:pPr>
              <w:spacing w:after="0"/>
              <w:rPr>
                <w:sz w:val="1"/>
                <w:szCs w:val="1"/>
                <w:color w:val="auto"/>
              </w:rPr>
            </w:pPr>
          </w:p>
        </w:tc>
      </w:tr>
      <w:tr>
        <w:trPr>
          <w:trHeight w:val="93"/>
        </w:trPr>
        <w:tc>
          <w:tcPr>
            <w:tcW w:w="1700" w:type="dxa"/>
            <w:vAlign w:val="bottom"/>
          </w:tcPr>
          <w:p>
            <w:pPr>
              <w:spacing w:after="0"/>
              <w:rPr>
                <w:sz w:val="8"/>
                <w:szCs w:val="8"/>
                <w:color w:val="auto"/>
              </w:rPr>
            </w:pPr>
          </w:p>
        </w:tc>
        <w:tc>
          <w:tcPr>
            <w:tcW w:w="2700" w:type="dxa"/>
            <w:vAlign w:val="bottom"/>
          </w:tcPr>
          <w:p>
            <w:pPr>
              <w:ind w:left="20"/>
              <w:spacing w:after="0" w:line="94" w:lineRule="exact"/>
              <w:rPr>
                <w:sz w:val="20"/>
                <w:szCs w:val="20"/>
                <w:color w:val="auto"/>
              </w:rPr>
            </w:pPr>
            <w:r>
              <w:rPr>
                <w:rFonts w:ascii="Times New Roman" w:cs="Times New Roman" w:eastAsia="Times New Roman" w:hAnsi="Times New Roman"/>
                <w:sz w:val="9"/>
                <w:szCs w:val="9"/>
                <w:color w:val="auto"/>
              </w:rPr>
              <w:t>Property rental income</w:t>
            </w:r>
          </w:p>
        </w:tc>
        <w:tc>
          <w:tcPr>
            <w:tcW w:w="120" w:type="dxa"/>
            <w:vAlign w:val="bottom"/>
          </w:tcPr>
          <w:p>
            <w:pPr>
              <w:spacing w:after="0"/>
              <w:rPr>
                <w:sz w:val="8"/>
                <w:szCs w:val="8"/>
                <w:color w:val="auto"/>
              </w:rPr>
            </w:pPr>
          </w:p>
        </w:tc>
        <w:tc>
          <w:tcPr>
            <w:tcW w:w="74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1,050</w:t>
            </w:r>
          </w:p>
        </w:tc>
        <w:tc>
          <w:tcPr>
            <w:tcW w:w="38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23%</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1,053</w:t>
            </w:r>
          </w:p>
        </w:tc>
        <w:tc>
          <w:tcPr>
            <w:tcW w:w="46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6"/>
              </w:rPr>
              <w:t>21%</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3,164</w:t>
            </w:r>
          </w:p>
        </w:tc>
        <w:tc>
          <w:tcPr>
            <w:tcW w:w="46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6"/>
              </w:rPr>
              <w:t>22%</w:t>
            </w:r>
          </w:p>
        </w:tc>
        <w:tc>
          <w:tcPr>
            <w:tcW w:w="80" w:type="dxa"/>
            <w:vAlign w:val="bottom"/>
          </w:tcPr>
          <w:p>
            <w:pPr>
              <w:spacing w:after="0"/>
              <w:rPr>
                <w:sz w:val="8"/>
                <w:szCs w:val="8"/>
                <w:color w:val="auto"/>
              </w:rPr>
            </w:pP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3,192</w:t>
            </w:r>
          </w:p>
        </w:tc>
        <w:tc>
          <w:tcPr>
            <w:tcW w:w="60" w:type="dxa"/>
            <w:vAlign w:val="bottom"/>
          </w:tcPr>
          <w:p>
            <w:pPr>
              <w:spacing w:after="0"/>
              <w:rPr>
                <w:sz w:val="8"/>
                <w:szCs w:val="8"/>
                <w:color w:val="auto"/>
              </w:rPr>
            </w:pPr>
          </w:p>
        </w:tc>
        <w:tc>
          <w:tcPr>
            <w:tcW w:w="440" w:type="dxa"/>
            <w:vAlign w:val="bottom"/>
          </w:tcPr>
          <w:p>
            <w:pPr>
              <w:jc w:val="center"/>
              <w:ind w:right="37"/>
              <w:spacing w:after="0" w:line="94" w:lineRule="exact"/>
              <w:rPr>
                <w:sz w:val="20"/>
                <w:szCs w:val="20"/>
                <w:color w:val="auto"/>
              </w:rPr>
            </w:pPr>
            <w:r>
              <w:rPr>
                <w:rFonts w:ascii="Times New Roman" w:cs="Times New Roman" w:eastAsia="Times New Roman" w:hAnsi="Times New Roman"/>
                <w:sz w:val="9"/>
                <w:szCs w:val="9"/>
                <w:i w:val="1"/>
                <w:iCs w:val="1"/>
                <w:color w:val="auto"/>
                <w:w w:val="96"/>
              </w:rPr>
              <w:t>22%</w:t>
            </w:r>
          </w:p>
        </w:tc>
        <w:tc>
          <w:tcPr>
            <w:tcW w:w="60" w:type="dxa"/>
            <w:vAlign w:val="bottom"/>
          </w:tcPr>
          <w:p>
            <w:pPr>
              <w:spacing w:after="0"/>
              <w:rPr>
                <w:sz w:val="8"/>
                <w:szCs w:val="8"/>
                <w:color w:val="auto"/>
              </w:rPr>
            </w:pPr>
          </w:p>
        </w:tc>
        <w:tc>
          <w:tcPr>
            <w:tcW w:w="7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82"/>
        </w:trPr>
        <w:tc>
          <w:tcPr>
            <w:tcW w:w="1700" w:type="dxa"/>
            <w:vAlign w:val="bottom"/>
            <w:tcBorders>
              <w:top w:val="single" w:sz="8" w:color="CCEEFF"/>
            </w:tcBorders>
            <w:shd w:val="clear" w:color="auto" w:fill="CCEEFF"/>
          </w:tcPr>
          <w:p>
            <w:pPr>
              <w:spacing w:after="0"/>
              <w:rPr>
                <w:sz w:val="7"/>
                <w:szCs w:val="7"/>
                <w:color w:val="auto"/>
              </w:rPr>
            </w:pPr>
          </w:p>
        </w:tc>
        <w:tc>
          <w:tcPr>
            <w:tcW w:w="27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1,952</w:t>
            </w:r>
          </w:p>
        </w:tc>
        <w:tc>
          <w:tcPr>
            <w:tcW w:w="6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CCEEFF"/>
            </w:tcBorders>
            <w:shd w:val="clear" w:color="auto" w:fill="CCEEFF"/>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43%</w:t>
            </w: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1,444</w:t>
            </w:r>
          </w:p>
        </w:tc>
        <w:tc>
          <w:tcPr>
            <w:tcW w:w="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jc w:val="center"/>
              <w:ind w:right="17"/>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29%</w:t>
            </w:r>
          </w:p>
        </w:tc>
        <w:tc>
          <w:tcPr>
            <w:tcW w:w="3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5,239</w:t>
            </w:r>
          </w:p>
        </w:tc>
        <w:tc>
          <w:tcPr>
            <w:tcW w:w="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jc w:val="center"/>
              <w:ind w:right="17"/>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37%</w:t>
            </w:r>
          </w:p>
        </w:tc>
        <w:tc>
          <w:tcPr>
            <w:tcW w:w="80" w:type="dxa"/>
            <w:vAlign w:val="bottom"/>
            <w:tcBorders>
              <w:top w:val="single" w:sz="8" w:color="auto"/>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4,412</w:t>
            </w:r>
          </w:p>
        </w:tc>
        <w:tc>
          <w:tcPr>
            <w:tcW w:w="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CCEEFF"/>
            </w:tcBorders>
            <w:shd w:val="clear" w:color="auto" w:fill="CCEEFF"/>
          </w:tcPr>
          <w:p>
            <w:pPr>
              <w:jc w:val="center"/>
              <w:ind w:right="37"/>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30%</w:t>
            </w:r>
          </w:p>
        </w:tc>
        <w:tc>
          <w:tcPr>
            <w:tcW w:w="6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jc w:val="right"/>
              <w:ind w:right="37"/>
              <w:spacing w:after="0" w:line="83" w:lineRule="exact"/>
              <w:rPr>
                <w:sz w:val="20"/>
                <w:szCs w:val="20"/>
                <w:color w:val="auto"/>
              </w:rPr>
            </w:pPr>
            <w:r>
              <w:rPr>
                <w:rFonts w:ascii="Times New Roman" w:cs="Times New Roman" w:eastAsia="Times New Roman" w:hAnsi="Times New Roman"/>
                <w:sz w:val="9"/>
                <w:szCs w:val="9"/>
                <w:b w:val="1"/>
                <w:bCs w:val="1"/>
                <w:color w:val="auto"/>
              </w:rPr>
              <w:t>35%</w:t>
            </w:r>
          </w:p>
        </w:tc>
        <w:tc>
          <w:tcPr>
            <w:tcW w:w="620" w:type="dxa"/>
            <w:vAlign w:val="bottom"/>
            <w:tcBorders>
              <w:top w:val="single" w:sz="8" w:color="CCEEFF"/>
            </w:tcBorders>
            <w:shd w:val="clear" w:color="auto" w:fill="CCEEFF"/>
          </w:tcPr>
          <w:p>
            <w:pPr>
              <w:jc w:val="right"/>
              <w:ind w:right="37"/>
              <w:spacing w:after="0" w:line="83" w:lineRule="exact"/>
              <w:rPr>
                <w:sz w:val="20"/>
                <w:szCs w:val="20"/>
                <w:color w:val="auto"/>
              </w:rPr>
            </w:pPr>
            <w:r>
              <w:rPr>
                <w:rFonts w:ascii="Times New Roman" w:cs="Times New Roman" w:eastAsia="Times New Roman" w:hAnsi="Times New Roman"/>
                <w:sz w:val="9"/>
                <w:szCs w:val="9"/>
                <w:b w:val="1"/>
                <w:bCs w:val="1"/>
                <w:color w:val="auto"/>
              </w:rPr>
              <w:t>19%</w:t>
            </w:r>
          </w:p>
        </w:tc>
        <w:tc>
          <w:tcPr>
            <w:tcW w:w="0" w:type="dxa"/>
            <w:vAlign w:val="bottom"/>
          </w:tcPr>
          <w:p>
            <w:pPr>
              <w:spacing w:after="0"/>
              <w:rPr>
                <w:sz w:val="1"/>
                <w:szCs w:val="1"/>
                <w:color w:val="auto"/>
              </w:rPr>
            </w:pPr>
          </w:p>
        </w:tc>
      </w:tr>
      <w:tr>
        <w:trPr>
          <w:trHeight w:val="93"/>
        </w:trPr>
        <w:tc>
          <w:tcPr>
            <w:tcW w:w="1700" w:type="dxa"/>
            <w:vAlign w:val="bottom"/>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Australia</w:t>
            </w:r>
          </w:p>
        </w:tc>
        <w:tc>
          <w:tcPr>
            <w:tcW w:w="2700" w:type="dxa"/>
            <w:vAlign w:val="bottom"/>
          </w:tcPr>
          <w:p>
            <w:pPr>
              <w:ind w:left="20"/>
              <w:spacing w:after="0" w:line="94" w:lineRule="exact"/>
              <w:rPr>
                <w:sz w:val="20"/>
                <w:szCs w:val="20"/>
                <w:color w:val="auto"/>
              </w:rPr>
            </w:pPr>
            <w:r>
              <w:rPr>
                <w:rFonts w:ascii="Times New Roman" w:cs="Times New Roman" w:eastAsia="Times New Roman" w:hAnsi="Times New Roman"/>
                <w:sz w:val="9"/>
                <w:szCs w:val="9"/>
                <w:color w:val="auto"/>
              </w:rPr>
              <w:t>Property rental income</w:t>
            </w:r>
          </w:p>
        </w:tc>
        <w:tc>
          <w:tcPr>
            <w:tcW w:w="120" w:type="dxa"/>
            <w:vAlign w:val="bottom"/>
          </w:tcPr>
          <w:p>
            <w:pPr>
              <w:spacing w:after="0"/>
              <w:rPr>
                <w:sz w:val="8"/>
                <w:szCs w:val="8"/>
                <w:color w:val="auto"/>
              </w:rPr>
            </w:pPr>
          </w:p>
        </w:tc>
        <w:tc>
          <w:tcPr>
            <w:tcW w:w="74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b w:val="1"/>
                <w:bCs w:val="1"/>
                <w:color w:val="auto"/>
              </w:rPr>
              <w:t>2,394</w:t>
            </w:r>
          </w:p>
        </w:tc>
        <w:tc>
          <w:tcPr>
            <w:tcW w:w="38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6"/>
              </w:rPr>
              <w:t>52%</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b w:val="1"/>
                <w:bCs w:val="1"/>
                <w:color w:val="auto"/>
              </w:rPr>
              <w:t>3,082</w:t>
            </w:r>
          </w:p>
        </w:tc>
        <w:tc>
          <w:tcPr>
            <w:tcW w:w="46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6"/>
              </w:rPr>
              <w:t>63%</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b w:val="1"/>
                <w:bCs w:val="1"/>
                <w:color w:val="auto"/>
              </w:rPr>
              <w:t>8,150</w:t>
            </w:r>
          </w:p>
        </w:tc>
        <w:tc>
          <w:tcPr>
            <w:tcW w:w="46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6"/>
              </w:rPr>
              <w:t>58%</w:t>
            </w:r>
          </w:p>
        </w:tc>
        <w:tc>
          <w:tcPr>
            <w:tcW w:w="80" w:type="dxa"/>
            <w:vAlign w:val="bottom"/>
          </w:tcPr>
          <w:p>
            <w:pPr>
              <w:spacing w:after="0"/>
              <w:rPr>
                <w:sz w:val="8"/>
                <w:szCs w:val="8"/>
                <w:color w:val="auto"/>
              </w:rPr>
            </w:pP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b w:val="1"/>
                <w:bCs w:val="1"/>
                <w:color w:val="auto"/>
              </w:rPr>
              <w:t>9,342</w:t>
            </w:r>
          </w:p>
        </w:tc>
        <w:tc>
          <w:tcPr>
            <w:tcW w:w="60" w:type="dxa"/>
            <w:vAlign w:val="bottom"/>
          </w:tcPr>
          <w:p>
            <w:pPr>
              <w:spacing w:after="0"/>
              <w:rPr>
                <w:sz w:val="8"/>
                <w:szCs w:val="8"/>
                <w:color w:val="auto"/>
              </w:rPr>
            </w:pPr>
          </w:p>
        </w:tc>
        <w:tc>
          <w:tcPr>
            <w:tcW w:w="440" w:type="dxa"/>
            <w:vAlign w:val="bottom"/>
          </w:tcPr>
          <w:p>
            <w:pPr>
              <w:jc w:val="center"/>
              <w:ind w:right="37"/>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6"/>
              </w:rPr>
              <w:t>63%</w:t>
            </w:r>
          </w:p>
        </w:tc>
        <w:tc>
          <w:tcPr>
            <w:tcW w:w="60" w:type="dxa"/>
            <w:vAlign w:val="bottom"/>
          </w:tcPr>
          <w:p>
            <w:pPr>
              <w:spacing w:after="0"/>
              <w:rPr>
                <w:sz w:val="8"/>
                <w:szCs w:val="8"/>
                <w:color w:val="auto"/>
              </w:rPr>
            </w:pPr>
          </w:p>
        </w:tc>
        <w:tc>
          <w:tcPr>
            <w:tcW w:w="7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(22)%</w:t>
            </w:r>
          </w:p>
        </w:tc>
        <w:tc>
          <w:tcPr>
            <w:tcW w:w="62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(13)%</w:t>
            </w:r>
          </w:p>
        </w:tc>
        <w:tc>
          <w:tcPr>
            <w:tcW w:w="0" w:type="dxa"/>
            <w:vAlign w:val="bottom"/>
          </w:tcPr>
          <w:p>
            <w:pPr>
              <w:spacing w:after="0"/>
              <w:rPr>
                <w:sz w:val="1"/>
                <w:szCs w:val="1"/>
                <w:color w:val="auto"/>
              </w:rPr>
            </w:pPr>
          </w:p>
        </w:tc>
      </w:tr>
      <w:tr>
        <w:trPr>
          <w:trHeight w:val="93"/>
        </w:trPr>
        <w:tc>
          <w:tcPr>
            <w:tcW w:w="1700" w:type="dxa"/>
            <w:vAlign w:val="bottom"/>
            <w:shd w:val="clear" w:color="auto" w:fill="CCEEFF"/>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New Zealand</w:t>
            </w:r>
          </w:p>
        </w:tc>
        <w:tc>
          <w:tcPr>
            <w:tcW w:w="2700" w:type="dxa"/>
            <w:vAlign w:val="bottom"/>
            <w:shd w:val="clear" w:color="auto" w:fill="CCEEFF"/>
          </w:tcPr>
          <w:p>
            <w:pPr>
              <w:ind w:left="20"/>
              <w:spacing w:after="0" w:line="94" w:lineRule="exact"/>
              <w:rPr>
                <w:sz w:val="20"/>
                <w:szCs w:val="20"/>
                <w:color w:val="auto"/>
              </w:rPr>
            </w:pPr>
            <w:r>
              <w:rPr>
                <w:rFonts w:ascii="Times New Roman" w:cs="Times New Roman" w:eastAsia="Times New Roman" w:hAnsi="Times New Roman"/>
                <w:sz w:val="9"/>
                <w:szCs w:val="9"/>
                <w:color w:val="auto"/>
              </w:rPr>
              <w:t>Property rental income</w:t>
            </w: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b w:val="1"/>
                <w:bCs w:val="1"/>
                <w:color w:val="auto"/>
              </w:rPr>
              <w:t>221</w:t>
            </w:r>
          </w:p>
        </w:tc>
        <w:tc>
          <w:tcPr>
            <w:tcW w:w="38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9"/>
              </w:rPr>
              <w:t>5%</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b w:val="1"/>
                <w:bCs w:val="1"/>
                <w:color w:val="auto"/>
              </w:rPr>
              <w:t>372</w:t>
            </w:r>
          </w:p>
        </w:tc>
        <w:tc>
          <w:tcPr>
            <w:tcW w:w="460" w:type="dxa"/>
            <w:vAlign w:val="bottom"/>
            <w:shd w:val="clear" w:color="auto" w:fill="CCEEFF"/>
          </w:tcPr>
          <w:p>
            <w:pPr>
              <w:jc w:val="center"/>
              <w:ind w:right="17"/>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9"/>
              </w:rPr>
              <w:t>8%</w:t>
            </w: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b w:val="1"/>
                <w:bCs w:val="1"/>
                <w:color w:val="auto"/>
              </w:rPr>
              <w:t>676</w:t>
            </w:r>
          </w:p>
        </w:tc>
        <w:tc>
          <w:tcPr>
            <w:tcW w:w="460" w:type="dxa"/>
            <w:vAlign w:val="bottom"/>
            <w:shd w:val="clear" w:color="auto" w:fill="CCEEFF"/>
          </w:tcPr>
          <w:p>
            <w:pPr>
              <w:jc w:val="center"/>
              <w:ind w:right="17"/>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9"/>
              </w:rPr>
              <w:t>5%</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b w:val="1"/>
                <w:bCs w:val="1"/>
                <w:color w:val="auto"/>
              </w:rPr>
              <w:t>1,090</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center"/>
              <w:ind w:right="37"/>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9"/>
              </w:rPr>
              <w:t>7%</w:t>
            </w: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(41)%</w:t>
            </w:r>
          </w:p>
        </w:tc>
        <w:tc>
          <w:tcPr>
            <w:tcW w:w="62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(38)%</w:t>
            </w:r>
          </w:p>
        </w:tc>
        <w:tc>
          <w:tcPr>
            <w:tcW w:w="0" w:type="dxa"/>
            <w:vAlign w:val="bottom"/>
          </w:tcPr>
          <w:p>
            <w:pPr>
              <w:spacing w:after="0"/>
              <w:rPr>
                <w:sz w:val="1"/>
                <w:szCs w:val="1"/>
                <w:color w:val="auto"/>
              </w:rPr>
            </w:pPr>
          </w:p>
        </w:tc>
      </w:tr>
      <w:tr>
        <w:trPr>
          <w:trHeight w:val="93"/>
        </w:trPr>
        <w:tc>
          <w:tcPr>
            <w:tcW w:w="1700" w:type="dxa"/>
            <w:vAlign w:val="bottom"/>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Total revenue</w:t>
            </w:r>
          </w:p>
        </w:tc>
        <w:tc>
          <w:tcPr>
            <w:tcW w:w="2700" w:type="dxa"/>
            <w:vAlign w:val="bottom"/>
          </w:tcPr>
          <w:p>
            <w:pPr>
              <w:spacing w:after="0"/>
              <w:rPr>
                <w:sz w:val="8"/>
                <w:szCs w:val="8"/>
                <w:color w:val="auto"/>
              </w:rPr>
            </w:pPr>
          </w:p>
        </w:tc>
        <w:tc>
          <w:tcPr>
            <w:tcW w:w="120" w:type="dxa"/>
            <w:vAlign w:val="bottom"/>
          </w:tcPr>
          <w:p>
            <w:pPr>
              <w:jc w:val="right"/>
              <w:ind w:right="17"/>
              <w:spacing w:after="0" w:line="94" w:lineRule="exact"/>
              <w:rPr>
                <w:sz w:val="20"/>
                <w:szCs w:val="20"/>
                <w:color w:val="auto"/>
              </w:rPr>
            </w:pPr>
            <w:r>
              <w:rPr>
                <w:rFonts w:ascii="Times New Roman" w:cs="Times New Roman" w:eastAsia="Times New Roman" w:hAnsi="Times New Roman"/>
                <w:sz w:val="9"/>
                <w:szCs w:val="9"/>
                <w:b w:val="1"/>
                <w:bCs w:val="1"/>
                <w:color w:val="auto"/>
                <w:w w:val="87"/>
              </w:rPr>
              <w:t>$</w:t>
            </w:r>
          </w:p>
        </w:tc>
        <w:tc>
          <w:tcPr>
            <w:tcW w:w="74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b w:val="1"/>
                <w:bCs w:val="1"/>
                <w:color w:val="auto"/>
              </w:rPr>
              <w:t>4,567</w:t>
            </w:r>
          </w:p>
        </w:tc>
        <w:tc>
          <w:tcPr>
            <w:tcW w:w="38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5"/>
              </w:rPr>
              <w:t>100%</w:t>
            </w:r>
          </w:p>
        </w:tc>
        <w:tc>
          <w:tcPr>
            <w:tcW w:w="160" w:type="dxa"/>
            <w:vAlign w:val="bottom"/>
            <w:gridSpan w:val="2"/>
          </w:tcPr>
          <w:p>
            <w:pPr>
              <w:jc w:val="right"/>
              <w:ind w:right="33"/>
              <w:spacing w:after="0" w:line="94" w:lineRule="exact"/>
              <w:rPr>
                <w:sz w:val="20"/>
                <w:szCs w:val="20"/>
                <w:color w:val="auto"/>
              </w:rPr>
            </w:pPr>
            <w:r>
              <w:rPr>
                <w:rFonts w:ascii="Times New Roman" w:cs="Times New Roman" w:eastAsia="Times New Roman" w:hAnsi="Times New Roman"/>
                <w:sz w:val="9"/>
                <w:szCs w:val="9"/>
                <w:b w:val="1"/>
                <w:bCs w:val="1"/>
                <w:color w:val="auto"/>
              </w:rPr>
              <w:t>$</w:t>
            </w:r>
          </w:p>
        </w:tc>
        <w:tc>
          <w:tcPr>
            <w:tcW w:w="72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b w:val="1"/>
                <w:bCs w:val="1"/>
                <w:color w:val="auto"/>
              </w:rPr>
              <w:t>4,898</w:t>
            </w:r>
          </w:p>
        </w:tc>
        <w:tc>
          <w:tcPr>
            <w:tcW w:w="46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5"/>
              </w:rPr>
              <w:t>100%</w:t>
            </w:r>
          </w:p>
        </w:tc>
        <w:tc>
          <w:tcPr>
            <w:tcW w:w="360" w:type="dxa"/>
            <w:vAlign w:val="bottom"/>
          </w:tcPr>
          <w:p>
            <w:pPr>
              <w:spacing w:after="0"/>
              <w:rPr>
                <w:sz w:val="8"/>
                <w:szCs w:val="8"/>
                <w:color w:val="auto"/>
              </w:rPr>
            </w:pP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b w:val="1"/>
                <w:bCs w:val="1"/>
                <w:color w:val="auto"/>
              </w:rPr>
              <w:t>14,065</w:t>
            </w:r>
          </w:p>
        </w:tc>
        <w:tc>
          <w:tcPr>
            <w:tcW w:w="46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5"/>
              </w:rPr>
              <w:t>100%</w:t>
            </w:r>
          </w:p>
        </w:tc>
        <w:tc>
          <w:tcPr>
            <w:tcW w:w="80" w:type="dxa"/>
            <w:vAlign w:val="bottom"/>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b w:val="1"/>
                <w:bCs w:val="1"/>
                <w:color w:val="auto"/>
              </w:rPr>
              <w:t>14,844</w:t>
            </w:r>
          </w:p>
        </w:tc>
        <w:tc>
          <w:tcPr>
            <w:tcW w:w="60" w:type="dxa"/>
            <w:vAlign w:val="bottom"/>
          </w:tcPr>
          <w:p>
            <w:pPr>
              <w:spacing w:after="0"/>
              <w:rPr>
                <w:sz w:val="8"/>
                <w:szCs w:val="8"/>
                <w:color w:val="auto"/>
              </w:rPr>
            </w:pPr>
          </w:p>
        </w:tc>
        <w:tc>
          <w:tcPr>
            <w:tcW w:w="440" w:type="dxa"/>
            <w:vAlign w:val="bottom"/>
          </w:tcPr>
          <w:p>
            <w:pPr>
              <w:jc w:val="center"/>
              <w:ind w:right="37"/>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5"/>
              </w:rPr>
              <w:t>100%</w:t>
            </w:r>
          </w:p>
        </w:tc>
        <w:tc>
          <w:tcPr>
            <w:tcW w:w="60" w:type="dxa"/>
            <w:vAlign w:val="bottom"/>
          </w:tcPr>
          <w:p>
            <w:pPr>
              <w:spacing w:after="0"/>
              <w:rPr>
                <w:sz w:val="8"/>
                <w:szCs w:val="8"/>
                <w:color w:val="auto"/>
              </w:rPr>
            </w:pPr>
          </w:p>
        </w:tc>
        <w:tc>
          <w:tcPr>
            <w:tcW w:w="740" w:type="dxa"/>
            <w:vAlign w:val="bottom"/>
          </w:tcPr>
          <w:p>
            <w:pPr>
              <w:jc w:val="right"/>
              <w:ind w:right="37"/>
              <w:spacing w:after="0" w:line="94" w:lineRule="exact"/>
              <w:rPr>
                <w:sz w:val="20"/>
                <w:szCs w:val="20"/>
                <w:color w:val="auto"/>
              </w:rPr>
            </w:pPr>
            <w:r>
              <w:rPr>
                <w:rFonts w:ascii="Times New Roman" w:cs="Times New Roman" w:eastAsia="Times New Roman" w:hAnsi="Times New Roman"/>
                <w:sz w:val="9"/>
                <w:szCs w:val="9"/>
                <w:b w:val="1"/>
                <w:bCs w:val="1"/>
                <w:color w:val="auto"/>
              </w:rPr>
              <w:t>(7)%</w:t>
            </w:r>
          </w:p>
        </w:tc>
        <w:tc>
          <w:tcPr>
            <w:tcW w:w="620" w:type="dxa"/>
            <w:vAlign w:val="bottom"/>
          </w:tcPr>
          <w:p>
            <w:pPr>
              <w:jc w:val="right"/>
              <w:ind w:right="37"/>
              <w:spacing w:after="0" w:line="94" w:lineRule="exact"/>
              <w:rPr>
                <w:sz w:val="20"/>
                <w:szCs w:val="20"/>
                <w:color w:val="auto"/>
              </w:rPr>
            </w:pPr>
            <w:r>
              <w:rPr>
                <w:rFonts w:ascii="Times New Roman" w:cs="Times New Roman" w:eastAsia="Times New Roman" w:hAnsi="Times New Roman"/>
                <w:sz w:val="9"/>
                <w:szCs w:val="9"/>
                <w:b w:val="1"/>
                <w:bCs w:val="1"/>
                <w:color w:val="auto"/>
              </w:rPr>
              <w:t>(5)%</w:t>
            </w:r>
          </w:p>
        </w:tc>
        <w:tc>
          <w:tcPr>
            <w:tcW w:w="0" w:type="dxa"/>
            <w:vAlign w:val="bottom"/>
          </w:tcPr>
          <w:p>
            <w:pPr>
              <w:spacing w:after="0"/>
              <w:rPr>
                <w:sz w:val="1"/>
                <w:szCs w:val="1"/>
                <w:color w:val="auto"/>
              </w:rPr>
            </w:pPr>
          </w:p>
        </w:tc>
      </w:tr>
      <w:tr>
        <w:trPr>
          <w:trHeight w:val="92"/>
        </w:trPr>
        <w:tc>
          <w:tcPr>
            <w:tcW w:w="1700" w:type="dxa"/>
            <w:vAlign w:val="bottom"/>
            <w:tcBorders>
              <w:top w:val="single" w:sz="8" w:color="CCEEFF"/>
            </w:tcBorders>
            <w:shd w:val="clear" w:color="auto" w:fill="CCEEFF"/>
          </w:tcPr>
          <w:p>
            <w:pPr>
              <w:spacing w:after="0"/>
              <w:rPr>
                <w:sz w:val="7"/>
                <w:szCs w:val="7"/>
                <w:color w:val="auto"/>
              </w:rPr>
            </w:pPr>
          </w:p>
        </w:tc>
        <w:tc>
          <w:tcPr>
            <w:tcW w:w="27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00" w:type="dxa"/>
            <w:vAlign w:val="bottom"/>
          </w:tcPr>
          <w:p>
            <w:pPr>
              <w:spacing w:after="0" w:line="94" w:lineRule="exact"/>
              <w:rPr>
                <w:sz w:val="20"/>
                <w:szCs w:val="20"/>
                <w:color w:val="auto"/>
              </w:rPr>
            </w:pPr>
            <w:r>
              <w:rPr>
                <w:rFonts w:ascii="Times New Roman" w:cs="Times New Roman" w:eastAsia="Times New Roman" w:hAnsi="Times New Roman"/>
                <w:sz w:val="9"/>
                <w:szCs w:val="9"/>
                <w:b w:val="1"/>
                <w:bCs w:val="1"/>
                <w:color w:val="auto"/>
              </w:rPr>
              <w:t>OPERATING EXPENSE</w:t>
            </w:r>
          </w:p>
        </w:tc>
        <w:tc>
          <w:tcPr>
            <w:tcW w:w="2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700" w:type="dxa"/>
            <w:vAlign w:val="bottom"/>
            <w:shd w:val="clear" w:color="auto" w:fill="CCEEFF"/>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United States</w:t>
            </w:r>
          </w:p>
        </w:tc>
        <w:tc>
          <w:tcPr>
            <w:tcW w:w="2700" w:type="dxa"/>
            <w:vAlign w:val="bottom"/>
            <w:shd w:val="clear" w:color="auto" w:fill="CCEEFF"/>
          </w:tcPr>
          <w:p>
            <w:pPr>
              <w:ind w:left="20"/>
              <w:spacing w:after="0" w:line="94" w:lineRule="exact"/>
              <w:rPr>
                <w:sz w:val="20"/>
                <w:szCs w:val="20"/>
                <w:color w:val="auto"/>
              </w:rPr>
            </w:pPr>
            <w:r>
              <w:rPr>
                <w:rFonts w:ascii="Times New Roman" w:cs="Times New Roman" w:eastAsia="Times New Roman" w:hAnsi="Times New Roman"/>
                <w:sz w:val="9"/>
                <w:szCs w:val="9"/>
                <w:color w:val="auto"/>
              </w:rPr>
              <w:t>Live theatre cost</w:t>
            </w:r>
          </w:p>
        </w:tc>
        <w:tc>
          <w:tcPr>
            <w:tcW w:w="120" w:type="dxa"/>
            <w:vAlign w:val="bottom"/>
            <w:shd w:val="clear" w:color="auto" w:fill="CCEEFF"/>
          </w:tcPr>
          <w:p>
            <w:pPr>
              <w:jc w:val="right"/>
              <w:ind w:right="17"/>
              <w:spacing w:after="0" w:line="94" w:lineRule="exact"/>
              <w:rPr>
                <w:sz w:val="20"/>
                <w:szCs w:val="20"/>
                <w:color w:val="auto"/>
              </w:rPr>
            </w:pPr>
            <w:r>
              <w:rPr>
                <w:rFonts w:ascii="Times New Roman" w:cs="Times New Roman" w:eastAsia="Times New Roman" w:hAnsi="Times New Roman"/>
                <w:sz w:val="9"/>
                <w:szCs w:val="9"/>
                <w:color w:val="auto"/>
                <w:w w:val="87"/>
              </w:rPr>
              <w:t>$</w:t>
            </w:r>
          </w:p>
        </w:tc>
        <w:tc>
          <w:tcPr>
            <w:tcW w:w="6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(304)</w:t>
            </w: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7%</w:t>
            </w:r>
          </w:p>
        </w:tc>
        <w:tc>
          <w:tcPr>
            <w:tcW w:w="160" w:type="dxa"/>
            <w:vAlign w:val="bottom"/>
            <w:gridSpan w:val="2"/>
            <w:shd w:val="clear" w:color="auto" w:fill="CCEEFF"/>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(196)</w:t>
            </w:r>
          </w:p>
        </w:tc>
        <w:tc>
          <w:tcPr>
            <w:tcW w:w="460" w:type="dxa"/>
            <w:vAlign w:val="bottom"/>
            <w:shd w:val="clear" w:color="auto" w:fill="CCEEFF"/>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4%</w:t>
            </w: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(796)</w:t>
            </w:r>
          </w:p>
        </w:tc>
        <w:tc>
          <w:tcPr>
            <w:tcW w:w="460" w:type="dxa"/>
            <w:vAlign w:val="bottom"/>
            <w:shd w:val="clear" w:color="auto" w:fill="CCEEFF"/>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6%</w:t>
            </w:r>
          </w:p>
        </w:tc>
        <w:tc>
          <w:tcPr>
            <w:tcW w:w="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(706)</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center"/>
              <w:ind w:right="37"/>
              <w:spacing w:after="0" w:line="94" w:lineRule="exact"/>
              <w:rPr>
                <w:sz w:val="20"/>
                <w:szCs w:val="20"/>
                <w:color w:val="auto"/>
              </w:rPr>
            </w:pPr>
            <w:r>
              <w:rPr>
                <w:rFonts w:ascii="Times New Roman" w:cs="Times New Roman" w:eastAsia="Times New Roman" w:hAnsi="Times New Roman"/>
                <w:sz w:val="9"/>
                <w:szCs w:val="9"/>
                <w:i w:val="1"/>
                <w:iCs w:val="1"/>
                <w:color w:val="auto"/>
                <w:w w:val="99"/>
              </w:rPr>
              <w:t>5%</w:t>
            </w: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(55)%</w:t>
            </w:r>
          </w:p>
        </w:tc>
        <w:tc>
          <w:tcPr>
            <w:tcW w:w="62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(13)%</w:t>
            </w:r>
          </w:p>
        </w:tc>
        <w:tc>
          <w:tcPr>
            <w:tcW w:w="0" w:type="dxa"/>
            <w:vAlign w:val="bottom"/>
          </w:tcPr>
          <w:p>
            <w:pPr>
              <w:spacing w:after="0"/>
              <w:rPr>
                <w:sz w:val="1"/>
                <w:szCs w:val="1"/>
                <w:color w:val="auto"/>
              </w:rPr>
            </w:pPr>
          </w:p>
        </w:tc>
      </w:tr>
      <w:tr>
        <w:trPr>
          <w:trHeight w:val="93"/>
        </w:trPr>
        <w:tc>
          <w:tcPr>
            <w:tcW w:w="1700" w:type="dxa"/>
            <w:vAlign w:val="bottom"/>
          </w:tcPr>
          <w:p>
            <w:pPr>
              <w:spacing w:after="0"/>
              <w:rPr>
                <w:sz w:val="8"/>
                <w:szCs w:val="8"/>
                <w:color w:val="auto"/>
              </w:rPr>
            </w:pPr>
          </w:p>
        </w:tc>
        <w:tc>
          <w:tcPr>
            <w:tcW w:w="2700" w:type="dxa"/>
            <w:vAlign w:val="bottom"/>
          </w:tcPr>
          <w:p>
            <w:pPr>
              <w:ind w:left="20"/>
              <w:spacing w:after="0" w:line="94" w:lineRule="exact"/>
              <w:rPr>
                <w:sz w:val="20"/>
                <w:szCs w:val="20"/>
                <w:color w:val="auto"/>
              </w:rPr>
            </w:pPr>
            <w:r>
              <w:rPr>
                <w:rFonts w:ascii="Times New Roman" w:cs="Times New Roman" w:eastAsia="Times New Roman" w:hAnsi="Times New Roman"/>
                <w:sz w:val="9"/>
                <w:szCs w:val="9"/>
                <w:color w:val="auto"/>
              </w:rPr>
              <w:t>Occupancy expense</w:t>
            </w:r>
          </w:p>
        </w:tc>
        <w:tc>
          <w:tcPr>
            <w:tcW w:w="120" w:type="dxa"/>
            <w:vAlign w:val="bottom"/>
          </w:tcPr>
          <w:p>
            <w:pPr>
              <w:spacing w:after="0"/>
              <w:rPr>
                <w:sz w:val="8"/>
                <w:szCs w:val="8"/>
                <w:color w:val="auto"/>
              </w:rPr>
            </w:pP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(207)</w:t>
            </w:r>
          </w:p>
        </w:tc>
        <w:tc>
          <w:tcPr>
            <w:tcW w:w="60" w:type="dxa"/>
            <w:vAlign w:val="bottom"/>
          </w:tcPr>
          <w:p>
            <w:pPr>
              <w:spacing w:after="0"/>
              <w:rPr>
                <w:sz w:val="8"/>
                <w:szCs w:val="8"/>
                <w:color w:val="auto"/>
              </w:rPr>
            </w:pPr>
          </w:p>
        </w:tc>
        <w:tc>
          <w:tcPr>
            <w:tcW w:w="38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5%</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(167)</w:t>
            </w:r>
          </w:p>
        </w:tc>
        <w:tc>
          <w:tcPr>
            <w:tcW w:w="46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3%</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(559)</w:t>
            </w:r>
          </w:p>
        </w:tc>
        <w:tc>
          <w:tcPr>
            <w:tcW w:w="46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4%</w:t>
            </w:r>
          </w:p>
        </w:tc>
        <w:tc>
          <w:tcPr>
            <w:tcW w:w="80" w:type="dxa"/>
            <w:vAlign w:val="bottom"/>
          </w:tcPr>
          <w:p>
            <w:pPr>
              <w:spacing w:after="0"/>
              <w:rPr>
                <w:sz w:val="8"/>
                <w:szCs w:val="8"/>
                <w:color w:val="auto"/>
              </w:rPr>
            </w:pP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(521)</w:t>
            </w:r>
          </w:p>
        </w:tc>
        <w:tc>
          <w:tcPr>
            <w:tcW w:w="60" w:type="dxa"/>
            <w:vAlign w:val="bottom"/>
          </w:tcPr>
          <w:p>
            <w:pPr>
              <w:spacing w:after="0"/>
              <w:rPr>
                <w:sz w:val="8"/>
                <w:szCs w:val="8"/>
                <w:color w:val="auto"/>
              </w:rPr>
            </w:pPr>
          </w:p>
        </w:tc>
        <w:tc>
          <w:tcPr>
            <w:tcW w:w="440" w:type="dxa"/>
            <w:vAlign w:val="bottom"/>
          </w:tcPr>
          <w:p>
            <w:pPr>
              <w:jc w:val="center"/>
              <w:ind w:right="37"/>
              <w:spacing w:after="0" w:line="94" w:lineRule="exact"/>
              <w:rPr>
                <w:sz w:val="20"/>
                <w:szCs w:val="20"/>
                <w:color w:val="auto"/>
              </w:rPr>
            </w:pPr>
            <w:r>
              <w:rPr>
                <w:rFonts w:ascii="Times New Roman" w:cs="Times New Roman" w:eastAsia="Times New Roman" w:hAnsi="Times New Roman"/>
                <w:sz w:val="9"/>
                <w:szCs w:val="9"/>
                <w:i w:val="1"/>
                <w:iCs w:val="1"/>
                <w:color w:val="auto"/>
                <w:w w:val="99"/>
              </w:rPr>
              <w:t>4%</w:t>
            </w:r>
          </w:p>
        </w:tc>
        <w:tc>
          <w:tcPr>
            <w:tcW w:w="60" w:type="dxa"/>
            <w:vAlign w:val="bottom"/>
          </w:tcPr>
          <w:p>
            <w:pPr>
              <w:spacing w:after="0"/>
              <w:rPr>
                <w:sz w:val="8"/>
                <w:szCs w:val="8"/>
                <w:color w:val="auto"/>
              </w:rPr>
            </w:pPr>
          </w:p>
        </w:tc>
        <w:tc>
          <w:tcPr>
            <w:tcW w:w="7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(24)%</w:t>
            </w:r>
          </w:p>
        </w:tc>
        <w:tc>
          <w:tcPr>
            <w:tcW w:w="62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(7)%</w:t>
            </w:r>
          </w:p>
        </w:tc>
        <w:tc>
          <w:tcPr>
            <w:tcW w:w="0" w:type="dxa"/>
            <w:vAlign w:val="bottom"/>
          </w:tcPr>
          <w:p>
            <w:pPr>
              <w:spacing w:after="0"/>
              <w:rPr>
                <w:sz w:val="1"/>
                <w:szCs w:val="1"/>
                <w:color w:val="auto"/>
              </w:rPr>
            </w:pPr>
          </w:p>
        </w:tc>
      </w:tr>
      <w:tr>
        <w:trPr>
          <w:trHeight w:val="93"/>
        </w:trPr>
        <w:tc>
          <w:tcPr>
            <w:tcW w:w="1700" w:type="dxa"/>
            <w:vAlign w:val="bottom"/>
            <w:shd w:val="clear" w:color="auto" w:fill="CCEEFF"/>
          </w:tcPr>
          <w:p>
            <w:pPr>
              <w:spacing w:after="0"/>
              <w:rPr>
                <w:sz w:val="8"/>
                <w:szCs w:val="8"/>
                <w:color w:val="auto"/>
              </w:rPr>
            </w:pPr>
          </w:p>
        </w:tc>
        <w:tc>
          <w:tcPr>
            <w:tcW w:w="2700" w:type="dxa"/>
            <w:vAlign w:val="bottom"/>
            <w:shd w:val="clear" w:color="auto" w:fill="CCEEFF"/>
          </w:tcPr>
          <w:p>
            <w:pPr>
              <w:ind w:left="20"/>
              <w:spacing w:after="0" w:line="94" w:lineRule="exact"/>
              <w:rPr>
                <w:sz w:val="20"/>
                <w:szCs w:val="20"/>
                <w:color w:val="auto"/>
              </w:rPr>
            </w:pPr>
            <w:r>
              <w:rPr>
                <w:rFonts w:ascii="Times New Roman" w:cs="Times New Roman" w:eastAsia="Times New Roman" w:hAnsi="Times New Roman"/>
                <w:sz w:val="9"/>
                <w:szCs w:val="9"/>
                <w:color w:val="auto"/>
              </w:rPr>
              <w:t>Labor cost</w:t>
            </w: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CEEFF"/>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CEEFF"/>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8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CEEFF"/>
          </w:tcPr>
          <w:p>
            <w:pPr>
              <w:jc w:val="center"/>
              <w:ind w:right="37"/>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3"/>
        </w:trPr>
        <w:tc>
          <w:tcPr>
            <w:tcW w:w="1700" w:type="dxa"/>
            <w:vAlign w:val="bottom"/>
          </w:tcPr>
          <w:p>
            <w:pPr>
              <w:spacing w:after="0"/>
              <w:rPr>
                <w:sz w:val="8"/>
                <w:szCs w:val="8"/>
                <w:color w:val="auto"/>
              </w:rPr>
            </w:pPr>
          </w:p>
        </w:tc>
        <w:tc>
          <w:tcPr>
            <w:tcW w:w="2700" w:type="dxa"/>
            <w:vAlign w:val="bottom"/>
          </w:tcPr>
          <w:p>
            <w:pPr>
              <w:ind w:left="20"/>
              <w:spacing w:after="0" w:line="94" w:lineRule="exact"/>
              <w:rPr>
                <w:sz w:val="20"/>
                <w:szCs w:val="20"/>
                <w:color w:val="auto"/>
              </w:rPr>
            </w:pPr>
            <w:r>
              <w:rPr>
                <w:rFonts w:ascii="Times New Roman" w:cs="Times New Roman" w:eastAsia="Times New Roman" w:hAnsi="Times New Roman"/>
                <w:sz w:val="9"/>
                <w:szCs w:val="9"/>
                <w:color w:val="auto"/>
              </w:rPr>
              <w:t>Utilities</w:t>
            </w:r>
          </w:p>
        </w:tc>
        <w:tc>
          <w:tcPr>
            <w:tcW w:w="120" w:type="dxa"/>
            <w:vAlign w:val="bottom"/>
          </w:tcPr>
          <w:p>
            <w:pPr>
              <w:spacing w:after="0"/>
              <w:rPr>
                <w:sz w:val="8"/>
                <w:szCs w:val="8"/>
                <w:color w:val="auto"/>
              </w:rPr>
            </w:pPr>
          </w:p>
        </w:tc>
        <w:tc>
          <w:tcPr>
            <w:tcW w:w="74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(22)</w:t>
            </w:r>
          </w:p>
        </w:tc>
        <w:tc>
          <w:tcPr>
            <w:tcW w:w="38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(9)</w:t>
            </w:r>
          </w:p>
        </w:tc>
        <w:tc>
          <w:tcPr>
            <w:tcW w:w="46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(50)</w:t>
            </w:r>
          </w:p>
        </w:tc>
        <w:tc>
          <w:tcPr>
            <w:tcW w:w="46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80" w:type="dxa"/>
            <w:vAlign w:val="bottom"/>
          </w:tcPr>
          <w:p>
            <w:pPr>
              <w:spacing w:after="0"/>
              <w:rPr>
                <w:sz w:val="8"/>
                <w:szCs w:val="8"/>
                <w:color w:val="auto"/>
              </w:rPr>
            </w:pPr>
          </w:p>
        </w:tc>
        <w:tc>
          <w:tcPr>
            <w:tcW w:w="74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(88)</w:t>
            </w:r>
          </w:p>
        </w:tc>
        <w:tc>
          <w:tcPr>
            <w:tcW w:w="440" w:type="dxa"/>
            <w:vAlign w:val="bottom"/>
          </w:tcPr>
          <w:p>
            <w:pPr>
              <w:jc w:val="center"/>
              <w:ind w:right="37"/>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60" w:type="dxa"/>
            <w:vAlign w:val="bottom"/>
          </w:tcPr>
          <w:p>
            <w:pPr>
              <w:spacing w:after="0"/>
              <w:rPr>
                <w:sz w:val="8"/>
                <w:szCs w:val="8"/>
                <w:color w:val="auto"/>
              </w:rPr>
            </w:pPr>
          </w:p>
        </w:tc>
        <w:tc>
          <w:tcPr>
            <w:tcW w:w="7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(&gt;100)%</w:t>
            </w:r>
          </w:p>
        </w:tc>
        <w:tc>
          <w:tcPr>
            <w:tcW w:w="62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43%</w:t>
            </w:r>
          </w:p>
        </w:tc>
        <w:tc>
          <w:tcPr>
            <w:tcW w:w="0" w:type="dxa"/>
            <w:vAlign w:val="bottom"/>
          </w:tcPr>
          <w:p>
            <w:pPr>
              <w:spacing w:after="0"/>
              <w:rPr>
                <w:sz w:val="1"/>
                <w:szCs w:val="1"/>
                <w:color w:val="auto"/>
              </w:rPr>
            </w:pPr>
          </w:p>
        </w:tc>
      </w:tr>
      <w:tr>
        <w:trPr>
          <w:trHeight w:val="93"/>
        </w:trPr>
        <w:tc>
          <w:tcPr>
            <w:tcW w:w="1700" w:type="dxa"/>
            <w:vAlign w:val="bottom"/>
            <w:shd w:val="clear" w:color="auto" w:fill="CCEEFF"/>
          </w:tcPr>
          <w:p>
            <w:pPr>
              <w:spacing w:after="0"/>
              <w:rPr>
                <w:sz w:val="8"/>
                <w:szCs w:val="8"/>
                <w:color w:val="auto"/>
              </w:rPr>
            </w:pPr>
          </w:p>
        </w:tc>
        <w:tc>
          <w:tcPr>
            <w:tcW w:w="2700" w:type="dxa"/>
            <w:vAlign w:val="bottom"/>
            <w:shd w:val="clear" w:color="auto" w:fill="CCEEFF"/>
          </w:tcPr>
          <w:p>
            <w:pPr>
              <w:ind w:left="20"/>
              <w:spacing w:after="0" w:line="94" w:lineRule="exact"/>
              <w:rPr>
                <w:sz w:val="20"/>
                <w:szCs w:val="20"/>
                <w:color w:val="auto"/>
              </w:rPr>
            </w:pPr>
            <w:r>
              <w:rPr>
                <w:rFonts w:ascii="Times New Roman" w:cs="Times New Roman" w:eastAsia="Times New Roman" w:hAnsi="Times New Roman"/>
                <w:sz w:val="9"/>
                <w:szCs w:val="9"/>
                <w:color w:val="auto"/>
              </w:rPr>
              <w:t>Cleaning and maintenance</w:t>
            </w: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(52)</w:t>
            </w:r>
          </w:p>
        </w:tc>
        <w:tc>
          <w:tcPr>
            <w:tcW w:w="38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(37)</w:t>
            </w:r>
          </w:p>
        </w:tc>
        <w:tc>
          <w:tcPr>
            <w:tcW w:w="460" w:type="dxa"/>
            <w:vAlign w:val="bottom"/>
            <w:shd w:val="clear" w:color="auto" w:fill="CCEEFF"/>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(158)</w:t>
            </w:r>
          </w:p>
        </w:tc>
        <w:tc>
          <w:tcPr>
            <w:tcW w:w="460" w:type="dxa"/>
            <w:vAlign w:val="bottom"/>
            <w:shd w:val="clear" w:color="auto" w:fill="CCEEFF"/>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(115)</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center"/>
              <w:ind w:right="37"/>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(41)%</w:t>
            </w:r>
          </w:p>
        </w:tc>
        <w:tc>
          <w:tcPr>
            <w:tcW w:w="62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(37)%</w:t>
            </w:r>
          </w:p>
        </w:tc>
        <w:tc>
          <w:tcPr>
            <w:tcW w:w="0" w:type="dxa"/>
            <w:vAlign w:val="bottom"/>
          </w:tcPr>
          <w:p>
            <w:pPr>
              <w:spacing w:after="0"/>
              <w:rPr>
                <w:sz w:val="1"/>
                <w:szCs w:val="1"/>
                <w:color w:val="auto"/>
              </w:rPr>
            </w:pPr>
          </w:p>
        </w:tc>
      </w:tr>
      <w:tr>
        <w:trPr>
          <w:trHeight w:val="93"/>
        </w:trPr>
        <w:tc>
          <w:tcPr>
            <w:tcW w:w="1700" w:type="dxa"/>
            <w:vAlign w:val="bottom"/>
          </w:tcPr>
          <w:p>
            <w:pPr>
              <w:spacing w:after="0"/>
              <w:rPr>
                <w:sz w:val="8"/>
                <w:szCs w:val="8"/>
                <w:color w:val="auto"/>
              </w:rPr>
            </w:pPr>
          </w:p>
        </w:tc>
        <w:tc>
          <w:tcPr>
            <w:tcW w:w="2700" w:type="dxa"/>
            <w:vAlign w:val="bottom"/>
          </w:tcPr>
          <w:p>
            <w:pPr>
              <w:ind w:left="20"/>
              <w:spacing w:after="0" w:line="94" w:lineRule="exact"/>
              <w:rPr>
                <w:sz w:val="20"/>
                <w:szCs w:val="20"/>
                <w:color w:val="auto"/>
              </w:rPr>
            </w:pPr>
            <w:r>
              <w:rPr>
                <w:rFonts w:ascii="Times New Roman" w:cs="Times New Roman" w:eastAsia="Times New Roman" w:hAnsi="Times New Roman"/>
                <w:sz w:val="9"/>
                <w:szCs w:val="9"/>
                <w:color w:val="auto"/>
              </w:rPr>
              <w:t>Other operating expenses</w:t>
            </w:r>
          </w:p>
        </w:tc>
        <w:tc>
          <w:tcPr>
            <w:tcW w:w="120" w:type="dxa"/>
            <w:vAlign w:val="bottom"/>
          </w:tcPr>
          <w:p>
            <w:pPr>
              <w:spacing w:after="0"/>
              <w:rPr>
                <w:sz w:val="8"/>
                <w:szCs w:val="8"/>
                <w:color w:val="auto"/>
              </w:rPr>
            </w:pP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(288)</w:t>
            </w:r>
          </w:p>
        </w:tc>
        <w:tc>
          <w:tcPr>
            <w:tcW w:w="60" w:type="dxa"/>
            <w:vAlign w:val="bottom"/>
          </w:tcPr>
          <w:p>
            <w:pPr>
              <w:spacing w:after="0"/>
              <w:rPr>
                <w:sz w:val="8"/>
                <w:szCs w:val="8"/>
                <w:color w:val="auto"/>
              </w:rPr>
            </w:pPr>
          </w:p>
        </w:tc>
        <w:tc>
          <w:tcPr>
            <w:tcW w:w="38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6%</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(245)</w:t>
            </w:r>
          </w:p>
        </w:tc>
        <w:tc>
          <w:tcPr>
            <w:tcW w:w="46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5%</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(718)</w:t>
            </w:r>
          </w:p>
        </w:tc>
        <w:tc>
          <w:tcPr>
            <w:tcW w:w="46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5%</w:t>
            </w:r>
          </w:p>
        </w:tc>
        <w:tc>
          <w:tcPr>
            <w:tcW w:w="80" w:type="dxa"/>
            <w:vAlign w:val="bottom"/>
          </w:tcPr>
          <w:p>
            <w:pPr>
              <w:spacing w:after="0"/>
              <w:rPr>
                <w:sz w:val="8"/>
                <w:szCs w:val="8"/>
                <w:color w:val="auto"/>
              </w:rPr>
            </w:pP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(865)</w:t>
            </w:r>
          </w:p>
        </w:tc>
        <w:tc>
          <w:tcPr>
            <w:tcW w:w="60" w:type="dxa"/>
            <w:vAlign w:val="bottom"/>
          </w:tcPr>
          <w:p>
            <w:pPr>
              <w:spacing w:after="0"/>
              <w:rPr>
                <w:sz w:val="8"/>
                <w:szCs w:val="8"/>
                <w:color w:val="auto"/>
              </w:rPr>
            </w:pPr>
          </w:p>
        </w:tc>
        <w:tc>
          <w:tcPr>
            <w:tcW w:w="440" w:type="dxa"/>
            <w:vAlign w:val="bottom"/>
          </w:tcPr>
          <w:p>
            <w:pPr>
              <w:jc w:val="center"/>
              <w:ind w:right="37"/>
              <w:spacing w:after="0" w:line="94" w:lineRule="exact"/>
              <w:rPr>
                <w:sz w:val="20"/>
                <w:szCs w:val="20"/>
                <w:color w:val="auto"/>
              </w:rPr>
            </w:pPr>
            <w:r>
              <w:rPr>
                <w:rFonts w:ascii="Times New Roman" w:cs="Times New Roman" w:eastAsia="Times New Roman" w:hAnsi="Times New Roman"/>
                <w:sz w:val="9"/>
                <w:szCs w:val="9"/>
                <w:i w:val="1"/>
                <w:iCs w:val="1"/>
                <w:color w:val="auto"/>
                <w:w w:val="99"/>
              </w:rPr>
              <w:t>6%</w:t>
            </w:r>
          </w:p>
        </w:tc>
        <w:tc>
          <w:tcPr>
            <w:tcW w:w="60" w:type="dxa"/>
            <w:vAlign w:val="bottom"/>
          </w:tcPr>
          <w:p>
            <w:pPr>
              <w:spacing w:after="0"/>
              <w:rPr>
                <w:sz w:val="8"/>
                <w:szCs w:val="8"/>
                <w:color w:val="auto"/>
              </w:rPr>
            </w:pPr>
          </w:p>
        </w:tc>
        <w:tc>
          <w:tcPr>
            <w:tcW w:w="7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(18)%</w:t>
            </w:r>
          </w:p>
        </w:tc>
        <w:tc>
          <w:tcPr>
            <w:tcW w:w="62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17%</w:t>
            </w:r>
          </w:p>
        </w:tc>
        <w:tc>
          <w:tcPr>
            <w:tcW w:w="0" w:type="dxa"/>
            <w:vAlign w:val="bottom"/>
          </w:tcPr>
          <w:p>
            <w:pPr>
              <w:spacing w:after="0"/>
              <w:rPr>
                <w:sz w:val="1"/>
                <w:szCs w:val="1"/>
                <w:color w:val="auto"/>
              </w:rPr>
            </w:pPr>
          </w:p>
        </w:tc>
      </w:tr>
      <w:tr>
        <w:trPr>
          <w:trHeight w:val="82"/>
        </w:trPr>
        <w:tc>
          <w:tcPr>
            <w:tcW w:w="1700" w:type="dxa"/>
            <w:vAlign w:val="bottom"/>
            <w:tcBorders>
              <w:top w:val="single" w:sz="8" w:color="CCEEFF"/>
            </w:tcBorders>
            <w:shd w:val="clear" w:color="auto" w:fill="CCEEFF"/>
          </w:tcPr>
          <w:p>
            <w:pPr>
              <w:spacing w:after="0"/>
              <w:rPr>
                <w:sz w:val="7"/>
                <w:szCs w:val="7"/>
                <w:color w:val="auto"/>
              </w:rPr>
            </w:pPr>
          </w:p>
        </w:tc>
        <w:tc>
          <w:tcPr>
            <w:tcW w:w="27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(873)</w:t>
            </w:r>
          </w:p>
        </w:tc>
        <w:tc>
          <w:tcPr>
            <w:tcW w:w="6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CCEEFF"/>
            </w:tcBorders>
            <w:shd w:val="clear" w:color="auto" w:fill="CCEEFF"/>
          </w:tcPr>
          <w:p>
            <w:pPr>
              <w:jc w:val="center"/>
              <w:spacing w:after="0" w:line="83" w:lineRule="exact"/>
              <w:rPr>
                <w:sz w:val="20"/>
                <w:szCs w:val="20"/>
                <w:color w:val="auto"/>
              </w:rPr>
            </w:pPr>
            <w:r>
              <w:rPr>
                <w:rFonts w:ascii="Times New Roman" w:cs="Times New Roman" w:eastAsia="Times New Roman" w:hAnsi="Times New Roman"/>
                <w:sz w:val="9"/>
                <w:szCs w:val="9"/>
                <w:i w:val="1"/>
                <w:iCs w:val="1"/>
                <w:color w:val="auto"/>
                <w:w w:val="96"/>
              </w:rPr>
              <w:t>19%</w:t>
            </w: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(654)</w:t>
            </w:r>
          </w:p>
        </w:tc>
        <w:tc>
          <w:tcPr>
            <w:tcW w:w="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jc w:val="center"/>
              <w:ind w:right="17"/>
              <w:spacing w:after="0" w:line="83" w:lineRule="exact"/>
              <w:rPr>
                <w:sz w:val="20"/>
                <w:szCs w:val="20"/>
                <w:color w:val="auto"/>
              </w:rPr>
            </w:pPr>
            <w:r>
              <w:rPr>
                <w:rFonts w:ascii="Times New Roman" w:cs="Times New Roman" w:eastAsia="Times New Roman" w:hAnsi="Times New Roman"/>
                <w:sz w:val="9"/>
                <w:szCs w:val="9"/>
                <w:i w:val="1"/>
                <w:iCs w:val="1"/>
                <w:color w:val="auto"/>
                <w:w w:val="96"/>
              </w:rPr>
              <w:t>13%</w:t>
            </w:r>
          </w:p>
        </w:tc>
        <w:tc>
          <w:tcPr>
            <w:tcW w:w="3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tcBorders>
              <w:top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(2,281)</w:t>
            </w:r>
          </w:p>
        </w:tc>
        <w:tc>
          <w:tcPr>
            <w:tcW w:w="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jc w:val="center"/>
              <w:ind w:right="17"/>
              <w:spacing w:after="0" w:line="83" w:lineRule="exact"/>
              <w:rPr>
                <w:sz w:val="20"/>
                <w:szCs w:val="20"/>
                <w:color w:val="auto"/>
              </w:rPr>
            </w:pPr>
            <w:r>
              <w:rPr>
                <w:rFonts w:ascii="Times New Roman" w:cs="Times New Roman" w:eastAsia="Times New Roman" w:hAnsi="Times New Roman"/>
                <w:sz w:val="9"/>
                <w:szCs w:val="9"/>
                <w:i w:val="1"/>
                <w:iCs w:val="1"/>
                <w:color w:val="auto"/>
                <w:w w:val="96"/>
              </w:rPr>
              <w:t>16%</w:t>
            </w: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Borders>
              <w:top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(2,295)</w:t>
            </w:r>
          </w:p>
        </w:tc>
        <w:tc>
          <w:tcPr>
            <w:tcW w:w="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CCEEFF"/>
            </w:tcBorders>
            <w:shd w:val="clear" w:color="auto" w:fill="CCEEFF"/>
          </w:tcPr>
          <w:p>
            <w:pPr>
              <w:jc w:val="center"/>
              <w:ind w:right="37"/>
              <w:spacing w:after="0" w:line="83" w:lineRule="exact"/>
              <w:rPr>
                <w:sz w:val="20"/>
                <w:szCs w:val="20"/>
                <w:color w:val="auto"/>
              </w:rPr>
            </w:pPr>
            <w:r>
              <w:rPr>
                <w:rFonts w:ascii="Times New Roman" w:cs="Times New Roman" w:eastAsia="Times New Roman" w:hAnsi="Times New Roman"/>
                <w:sz w:val="9"/>
                <w:szCs w:val="9"/>
                <w:i w:val="1"/>
                <w:iCs w:val="1"/>
                <w:color w:val="auto"/>
                <w:w w:val="96"/>
              </w:rPr>
              <w:t>15%</w:t>
            </w:r>
          </w:p>
        </w:tc>
        <w:tc>
          <w:tcPr>
            <w:tcW w:w="6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jc w:val="right"/>
              <w:ind w:right="57"/>
              <w:spacing w:after="0" w:line="83" w:lineRule="exact"/>
              <w:rPr>
                <w:sz w:val="20"/>
                <w:szCs w:val="20"/>
                <w:color w:val="auto"/>
              </w:rPr>
            </w:pPr>
            <w:r>
              <w:rPr>
                <w:rFonts w:ascii="Times New Roman" w:cs="Times New Roman" w:eastAsia="Times New Roman" w:hAnsi="Times New Roman"/>
                <w:sz w:val="9"/>
                <w:szCs w:val="9"/>
                <w:color w:val="auto"/>
              </w:rPr>
              <w:t>(33)%</w:t>
            </w:r>
          </w:p>
        </w:tc>
        <w:tc>
          <w:tcPr>
            <w:tcW w:w="620" w:type="dxa"/>
            <w:vAlign w:val="bottom"/>
            <w:tcBorders>
              <w:top w:val="single" w:sz="8" w:color="CCEEFF"/>
            </w:tcBorders>
            <w:shd w:val="clear" w:color="auto" w:fill="CCEEFF"/>
          </w:tcPr>
          <w:p>
            <w:pPr>
              <w:jc w:val="right"/>
              <w:ind w:right="57"/>
              <w:spacing w:after="0" w:line="83" w:lineRule="exact"/>
              <w:rPr>
                <w:sz w:val="20"/>
                <w:szCs w:val="20"/>
                <w:color w:val="auto"/>
              </w:rPr>
            </w:pP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93"/>
        </w:trPr>
        <w:tc>
          <w:tcPr>
            <w:tcW w:w="17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700" w:type="dxa"/>
            <w:vAlign w:val="bottom"/>
            <w:shd w:val="clear" w:color="auto" w:fill="CCEEFF"/>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Australia</w:t>
            </w:r>
          </w:p>
        </w:tc>
        <w:tc>
          <w:tcPr>
            <w:tcW w:w="2700" w:type="dxa"/>
            <w:vAlign w:val="bottom"/>
            <w:shd w:val="clear" w:color="auto" w:fill="CCEEFF"/>
          </w:tcPr>
          <w:p>
            <w:pPr>
              <w:ind w:left="20"/>
              <w:spacing w:after="0" w:line="94" w:lineRule="exact"/>
              <w:rPr>
                <w:sz w:val="20"/>
                <w:szCs w:val="20"/>
                <w:color w:val="auto"/>
              </w:rPr>
            </w:pPr>
            <w:r>
              <w:rPr>
                <w:rFonts w:ascii="Times New Roman" w:cs="Times New Roman" w:eastAsia="Times New Roman" w:hAnsi="Times New Roman"/>
                <w:sz w:val="9"/>
                <w:szCs w:val="9"/>
                <w:color w:val="auto"/>
              </w:rPr>
              <w:t>Occupancy expense</w:t>
            </w: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(421)</w:t>
            </w: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9%</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(509)</w:t>
            </w:r>
          </w:p>
        </w:tc>
        <w:tc>
          <w:tcPr>
            <w:tcW w:w="460" w:type="dxa"/>
            <w:vAlign w:val="bottom"/>
            <w:shd w:val="clear" w:color="auto" w:fill="CCEEFF"/>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6"/>
              </w:rPr>
              <w:t>10%</w:t>
            </w: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(1,389)</w:t>
            </w:r>
          </w:p>
        </w:tc>
        <w:tc>
          <w:tcPr>
            <w:tcW w:w="460" w:type="dxa"/>
            <w:vAlign w:val="bottom"/>
            <w:shd w:val="clear" w:color="auto" w:fill="CCEEFF"/>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6"/>
              </w:rPr>
              <w:t>10%</w:t>
            </w:r>
          </w:p>
        </w:tc>
        <w:tc>
          <w:tcPr>
            <w:tcW w:w="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(1,477)</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center"/>
              <w:ind w:right="37"/>
              <w:spacing w:after="0" w:line="94" w:lineRule="exact"/>
              <w:rPr>
                <w:sz w:val="20"/>
                <w:szCs w:val="20"/>
                <w:color w:val="auto"/>
              </w:rPr>
            </w:pPr>
            <w:r>
              <w:rPr>
                <w:rFonts w:ascii="Times New Roman" w:cs="Times New Roman" w:eastAsia="Times New Roman" w:hAnsi="Times New Roman"/>
                <w:sz w:val="9"/>
                <w:szCs w:val="9"/>
                <w:i w:val="1"/>
                <w:iCs w:val="1"/>
                <w:color w:val="auto"/>
                <w:w w:val="96"/>
              </w:rPr>
              <w:t>10%</w:t>
            </w: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17%</w:t>
            </w:r>
          </w:p>
        </w:tc>
        <w:tc>
          <w:tcPr>
            <w:tcW w:w="62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6%</w:t>
            </w:r>
          </w:p>
        </w:tc>
        <w:tc>
          <w:tcPr>
            <w:tcW w:w="0" w:type="dxa"/>
            <w:vAlign w:val="bottom"/>
          </w:tcPr>
          <w:p>
            <w:pPr>
              <w:spacing w:after="0"/>
              <w:rPr>
                <w:sz w:val="1"/>
                <w:szCs w:val="1"/>
                <w:color w:val="auto"/>
              </w:rPr>
            </w:pPr>
          </w:p>
        </w:tc>
      </w:tr>
      <w:tr>
        <w:trPr>
          <w:trHeight w:val="112"/>
        </w:trPr>
        <w:tc>
          <w:tcPr>
            <w:tcW w:w="1700" w:type="dxa"/>
            <w:vAlign w:val="bottom"/>
          </w:tcPr>
          <w:p>
            <w:pPr>
              <w:spacing w:after="0"/>
              <w:rPr>
                <w:sz w:val="9"/>
                <w:szCs w:val="9"/>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9"/>
                <w:szCs w:val="9"/>
                <w:color w:val="auto"/>
              </w:rPr>
              <w:t>Labor cost</w:t>
            </w:r>
          </w:p>
        </w:tc>
        <w:tc>
          <w:tcPr>
            <w:tcW w:w="120" w:type="dxa"/>
            <w:vAlign w:val="bottom"/>
          </w:tcPr>
          <w:p>
            <w:pPr>
              <w:spacing w:after="0"/>
              <w:rPr>
                <w:sz w:val="9"/>
                <w:szCs w:val="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(42)</w:t>
            </w:r>
          </w:p>
        </w:tc>
        <w:tc>
          <w:tcPr>
            <w:tcW w:w="380" w:type="dxa"/>
            <w:vAlign w:val="bottom"/>
          </w:tcPr>
          <w:p>
            <w:pPr>
              <w:jc w:val="center"/>
              <w:spacing w:after="0"/>
              <w:rPr>
                <w:sz w:val="20"/>
                <w:szCs w:val="20"/>
                <w:color w:val="auto"/>
              </w:rPr>
            </w:pPr>
            <w:r>
              <w:rPr>
                <w:rFonts w:ascii="Times New Roman" w:cs="Times New Roman" w:eastAsia="Times New Roman" w:hAnsi="Times New Roman"/>
                <w:sz w:val="9"/>
                <w:szCs w:val="9"/>
                <w:i w:val="1"/>
                <w:iCs w:val="1"/>
                <w:color w:val="auto"/>
                <w:w w:val="99"/>
              </w:rPr>
              <w:t>1%</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(69)</w:t>
            </w:r>
          </w:p>
        </w:tc>
        <w:tc>
          <w:tcPr>
            <w:tcW w:w="460" w:type="dxa"/>
            <w:vAlign w:val="bottom"/>
          </w:tcPr>
          <w:p>
            <w:pPr>
              <w:jc w:val="center"/>
              <w:ind w:right="17"/>
              <w:spacing w:after="0"/>
              <w:rPr>
                <w:sz w:val="20"/>
                <w:szCs w:val="20"/>
                <w:color w:val="auto"/>
              </w:rPr>
            </w:pPr>
            <w:r>
              <w:rPr>
                <w:rFonts w:ascii="Times New Roman" w:cs="Times New Roman" w:eastAsia="Times New Roman" w:hAnsi="Times New Roman"/>
                <w:sz w:val="9"/>
                <w:szCs w:val="9"/>
                <w:i w:val="1"/>
                <w:iCs w:val="1"/>
                <w:color w:val="auto"/>
                <w:w w:val="99"/>
              </w:rPr>
              <w:t>1%</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(161)</w:t>
            </w:r>
          </w:p>
        </w:tc>
        <w:tc>
          <w:tcPr>
            <w:tcW w:w="460" w:type="dxa"/>
            <w:vAlign w:val="bottom"/>
          </w:tcPr>
          <w:p>
            <w:pPr>
              <w:jc w:val="center"/>
              <w:ind w:right="17"/>
              <w:spacing w:after="0"/>
              <w:rPr>
                <w:sz w:val="20"/>
                <w:szCs w:val="20"/>
                <w:color w:val="auto"/>
              </w:rPr>
            </w:pPr>
            <w:r>
              <w:rPr>
                <w:rFonts w:ascii="Times New Roman" w:cs="Times New Roman" w:eastAsia="Times New Roman" w:hAnsi="Times New Roman"/>
                <w:sz w:val="9"/>
                <w:szCs w:val="9"/>
                <w:i w:val="1"/>
                <w:iCs w:val="1"/>
                <w:color w:val="auto"/>
                <w:w w:val="99"/>
              </w:rPr>
              <w:t>1%</w:t>
            </w:r>
          </w:p>
        </w:tc>
        <w:tc>
          <w:tcPr>
            <w:tcW w:w="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(182)</w:t>
            </w:r>
          </w:p>
        </w:tc>
        <w:tc>
          <w:tcPr>
            <w:tcW w:w="60" w:type="dxa"/>
            <w:vAlign w:val="bottom"/>
          </w:tcPr>
          <w:p>
            <w:pPr>
              <w:spacing w:after="0"/>
              <w:rPr>
                <w:sz w:val="9"/>
                <w:szCs w:val="9"/>
                <w:color w:val="auto"/>
              </w:rPr>
            </w:pPr>
          </w:p>
        </w:tc>
        <w:tc>
          <w:tcPr>
            <w:tcW w:w="440" w:type="dxa"/>
            <w:vAlign w:val="bottom"/>
          </w:tcPr>
          <w:p>
            <w:pPr>
              <w:jc w:val="center"/>
              <w:ind w:right="37"/>
              <w:spacing w:after="0"/>
              <w:rPr>
                <w:sz w:val="20"/>
                <w:szCs w:val="20"/>
                <w:color w:val="auto"/>
              </w:rPr>
            </w:pPr>
            <w:r>
              <w:rPr>
                <w:rFonts w:ascii="Times New Roman" w:cs="Times New Roman" w:eastAsia="Times New Roman" w:hAnsi="Times New Roman"/>
                <w:sz w:val="9"/>
                <w:szCs w:val="9"/>
                <w:i w:val="1"/>
                <w:iCs w:val="1"/>
                <w:color w:val="auto"/>
                <w:w w:val="99"/>
              </w:rPr>
              <w:t>1%</w:t>
            </w:r>
          </w:p>
        </w:tc>
        <w:tc>
          <w:tcPr>
            <w:tcW w:w="60" w:type="dxa"/>
            <w:vAlign w:val="bottom"/>
          </w:tcPr>
          <w:p>
            <w:pPr>
              <w:spacing w:after="0"/>
              <w:rPr>
                <w:sz w:val="9"/>
                <w:szCs w:val="9"/>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9"/>
                <w:szCs w:val="9"/>
                <w:color w:val="auto"/>
              </w:rPr>
              <w:t>39%</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9"/>
                <w:szCs w:val="9"/>
                <w:color w:val="auto"/>
              </w:rPr>
              <w:t>12%</w:t>
            </w:r>
          </w:p>
        </w:tc>
        <w:tc>
          <w:tcPr>
            <w:tcW w:w="0" w:type="dxa"/>
            <w:vAlign w:val="bottom"/>
          </w:tcPr>
          <w:p>
            <w:pPr>
              <w:spacing w:after="0"/>
              <w:rPr>
                <w:sz w:val="1"/>
                <w:szCs w:val="1"/>
                <w:color w:val="auto"/>
              </w:rPr>
            </w:pPr>
          </w:p>
        </w:tc>
      </w:tr>
      <w:tr>
        <w:trPr>
          <w:trHeight w:val="112"/>
        </w:trPr>
        <w:tc>
          <w:tcPr>
            <w:tcW w:w="1700" w:type="dxa"/>
            <w:vAlign w:val="bottom"/>
            <w:shd w:val="clear" w:color="auto" w:fill="CCEEFF"/>
          </w:tcPr>
          <w:p>
            <w:pPr>
              <w:spacing w:after="0"/>
              <w:rPr>
                <w:sz w:val="9"/>
                <w:szCs w:val="9"/>
                <w:color w:val="auto"/>
              </w:rPr>
            </w:pP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Utilities</w:t>
            </w:r>
          </w:p>
        </w:tc>
        <w:tc>
          <w:tcPr>
            <w:tcW w:w="12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(67)</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9"/>
                <w:szCs w:val="9"/>
                <w:i w:val="1"/>
                <w:iCs w:val="1"/>
                <w:color w:val="auto"/>
                <w:w w:val="99"/>
              </w:rPr>
              <w:t>1%</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(22)</w:t>
            </w:r>
          </w:p>
        </w:tc>
        <w:tc>
          <w:tcPr>
            <w:tcW w:w="46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9"/>
                <w:szCs w:val="9"/>
                <w:i w:val="1"/>
                <w:iCs w:val="1"/>
                <w:color w:val="auto"/>
                <w:w w:val="99"/>
              </w:rPr>
              <w:t>0%</w:t>
            </w: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(101)</w:t>
            </w:r>
          </w:p>
        </w:tc>
        <w:tc>
          <w:tcPr>
            <w:tcW w:w="46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9"/>
                <w:szCs w:val="9"/>
                <w:i w:val="1"/>
                <w:iCs w:val="1"/>
                <w:color w:val="auto"/>
                <w:w w:val="99"/>
              </w:rPr>
              <w:t>1%</w:t>
            </w:r>
          </w:p>
        </w:tc>
        <w:tc>
          <w:tcPr>
            <w:tcW w:w="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(55)</w:t>
            </w:r>
          </w:p>
        </w:tc>
        <w:tc>
          <w:tcPr>
            <w:tcW w:w="44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9"/>
                <w:szCs w:val="9"/>
                <w:i w:val="1"/>
                <w:iCs w:val="1"/>
                <w:color w:val="auto"/>
                <w:w w:val="99"/>
              </w:rPr>
              <w:t>0%</w:t>
            </w: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9"/>
                <w:szCs w:val="9"/>
                <w:color w:val="auto"/>
              </w:rPr>
              <w:t>(&gt;100)%</w:t>
            </w:r>
          </w:p>
        </w:tc>
        <w:tc>
          <w:tcPr>
            <w:tcW w:w="6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9"/>
                <w:szCs w:val="9"/>
                <w:color w:val="auto"/>
              </w:rPr>
              <w:t>(84)%</w:t>
            </w:r>
          </w:p>
        </w:tc>
        <w:tc>
          <w:tcPr>
            <w:tcW w:w="0" w:type="dxa"/>
            <w:vAlign w:val="bottom"/>
          </w:tcPr>
          <w:p>
            <w:pPr>
              <w:spacing w:after="0"/>
              <w:rPr>
                <w:sz w:val="1"/>
                <w:szCs w:val="1"/>
                <w:color w:val="auto"/>
              </w:rPr>
            </w:pPr>
          </w:p>
        </w:tc>
      </w:tr>
      <w:tr>
        <w:trPr>
          <w:trHeight w:val="112"/>
        </w:trPr>
        <w:tc>
          <w:tcPr>
            <w:tcW w:w="1700" w:type="dxa"/>
            <w:vAlign w:val="bottom"/>
          </w:tcPr>
          <w:p>
            <w:pPr>
              <w:spacing w:after="0"/>
              <w:rPr>
                <w:sz w:val="9"/>
                <w:szCs w:val="9"/>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9"/>
                <w:szCs w:val="9"/>
                <w:color w:val="auto"/>
              </w:rPr>
              <w:t>Cleaning and maintenance</w:t>
            </w: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(198)</w:t>
            </w:r>
          </w:p>
        </w:tc>
        <w:tc>
          <w:tcPr>
            <w:tcW w:w="60" w:type="dxa"/>
            <w:vAlign w:val="bottom"/>
          </w:tcPr>
          <w:p>
            <w:pPr>
              <w:spacing w:after="0"/>
              <w:rPr>
                <w:sz w:val="9"/>
                <w:szCs w:val="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9"/>
                <w:szCs w:val="9"/>
                <w:i w:val="1"/>
                <w:iCs w:val="1"/>
                <w:color w:val="auto"/>
                <w:w w:val="99"/>
              </w:rPr>
              <w:t>4%</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(232)</w:t>
            </w:r>
          </w:p>
        </w:tc>
        <w:tc>
          <w:tcPr>
            <w:tcW w:w="460" w:type="dxa"/>
            <w:vAlign w:val="bottom"/>
          </w:tcPr>
          <w:p>
            <w:pPr>
              <w:jc w:val="center"/>
              <w:ind w:right="17"/>
              <w:spacing w:after="0"/>
              <w:rPr>
                <w:sz w:val="20"/>
                <w:szCs w:val="20"/>
                <w:color w:val="auto"/>
              </w:rPr>
            </w:pPr>
            <w:r>
              <w:rPr>
                <w:rFonts w:ascii="Times New Roman" w:cs="Times New Roman" w:eastAsia="Times New Roman" w:hAnsi="Times New Roman"/>
                <w:sz w:val="9"/>
                <w:szCs w:val="9"/>
                <w:i w:val="1"/>
                <w:iCs w:val="1"/>
                <w:color w:val="auto"/>
                <w:w w:val="99"/>
              </w:rPr>
              <w:t>5%</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(634)</w:t>
            </w:r>
          </w:p>
        </w:tc>
        <w:tc>
          <w:tcPr>
            <w:tcW w:w="460" w:type="dxa"/>
            <w:vAlign w:val="bottom"/>
          </w:tcPr>
          <w:p>
            <w:pPr>
              <w:jc w:val="center"/>
              <w:ind w:right="17"/>
              <w:spacing w:after="0"/>
              <w:rPr>
                <w:sz w:val="20"/>
                <w:szCs w:val="20"/>
                <w:color w:val="auto"/>
              </w:rPr>
            </w:pPr>
            <w:r>
              <w:rPr>
                <w:rFonts w:ascii="Times New Roman" w:cs="Times New Roman" w:eastAsia="Times New Roman" w:hAnsi="Times New Roman"/>
                <w:sz w:val="9"/>
                <w:szCs w:val="9"/>
                <w:i w:val="1"/>
                <w:iCs w:val="1"/>
                <w:color w:val="auto"/>
                <w:w w:val="99"/>
              </w:rPr>
              <w:t>5%</w:t>
            </w:r>
          </w:p>
        </w:tc>
        <w:tc>
          <w:tcPr>
            <w:tcW w:w="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(726)</w:t>
            </w:r>
          </w:p>
        </w:tc>
        <w:tc>
          <w:tcPr>
            <w:tcW w:w="60" w:type="dxa"/>
            <w:vAlign w:val="bottom"/>
          </w:tcPr>
          <w:p>
            <w:pPr>
              <w:spacing w:after="0"/>
              <w:rPr>
                <w:sz w:val="9"/>
                <w:szCs w:val="9"/>
                <w:color w:val="auto"/>
              </w:rPr>
            </w:pPr>
          </w:p>
        </w:tc>
        <w:tc>
          <w:tcPr>
            <w:tcW w:w="440" w:type="dxa"/>
            <w:vAlign w:val="bottom"/>
          </w:tcPr>
          <w:p>
            <w:pPr>
              <w:jc w:val="center"/>
              <w:ind w:right="37"/>
              <w:spacing w:after="0"/>
              <w:rPr>
                <w:sz w:val="20"/>
                <w:szCs w:val="20"/>
                <w:color w:val="auto"/>
              </w:rPr>
            </w:pPr>
            <w:r>
              <w:rPr>
                <w:rFonts w:ascii="Times New Roman" w:cs="Times New Roman" w:eastAsia="Times New Roman" w:hAnsi="Times New Roman"/>
                <w:sz w:val="9"/>
                <w:szCs w:val="9"/>
                <w:i w:val="1"/>
                <w:iCs w:val="1"/>
                <w:color w:val="auto"/>
                <w:w w:val="99"/>
              </w:rPr>
              <w:t>5%</w:t>
            </w:r>
          </w:p>
        </w:tc>
        <w:tc>
          <w:tcPr>
            <w:tcW w:w="60" w:type="dxa"/>
            <w:vAlign w:val="bottom"/>
          </w:tcPr>
          <w:p>
            <w:pPr>
              <w:spacing w:after="0"/>
              <w:rPr>
                <w:sz w:val="9"/>
                <w:szCs w:val="9"/>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9"/>
                <w:szCs w:val="9"/>
                <w:color w:val="auto"/>
              </w:rPr>
              <w:t>15%</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9"/>
                <w:szCs w:val="9"/>
                <w:color w:val="auto"/>
              </w:rPr>
              <w:t>13%</w:t>
            </w:r>
          </w:p>
        </w:tc>
        <w:tc>
          <w:tcPr>
            <w:tcW w:w="0" w:type="dxa"/>
            <w:vAlign w:val="bottom"/>
          </w:tcPr>
          <w:p>
            <w:pPr>
              <w:spacing w:after="0"/>
              <w:rPr>
                <w:sz w:val="1"/>
                <w:szCs w:val="1"/>
                <w:color w:val="auto"/>
              </w:rPr>
            </w:pPr>
          </w:p>
        </w:tc>
      </w:tr>
      <w:tr>
        <w:trPr>
          <w:trHeight w:val="112"/>
        </w:trPr>
        <w:tc>
          <w:tcPr>
            <w:tcW w:w="1700" w:type="dxa"/>
            <w:vAlign w:val="bottom"/>
            <w:shd w:val="clear" w:color="auto" w:fill="CCEEFF"/>
          </w:tcPr>
          <w:p>
            <w:pPr>
              <w:spacing w:after="0"/>
              <w:rPr>
                <w:sz w:val="9"/>
                <w:szCs w:val="9"/>
                <w:color w:val="auto"/>
              </w:rPr>
            </w:pP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Other operating expenses</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(191)</w:t>
            </w: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9"/>
                <w:szCs w:val="9"/>
                <w:i w:val="1"/>
                <w:iCs w:val="1"/>
                <w:color w:val="auto"/>
                <w:w w:val="99"/>
              </w:rPr>
              <w:t>4%</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(165)</w:t>
            </w:r>
          </w:p>
        </w:tc>
        <w:tc>
          <w:tcPr>
            <w:tcW w:w="46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9"/>
                <w:szCs w:val="9"/>
                <w:b w:val="1"/>
                <w:bCs w:val="1"/>
                <w:i w:val="1"/>
                <w:iCs w:val="1"/>
                <w:color w:val="auto"/>
                <w:w w:val="99"/>
              </w:rPr>
              <w:t>3%</w:t>
            </w: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(648)</w:t>
            </w:r>
          </w:p>
        </w:tc>
        <w:tc>
          <w:tcPr>
            <w:tcW w:w="46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9"/>
                <w:szCs w:val="9"/>
                <w:b w:val="1"/>
                <w:bCs w:val="1"/>
                <w:i w:val="1"/>
                <w:iCs w:val="1"/>
                <w:color w:val="auto"/>
                <w:w w:val="99"/>
              </w:rPr>
              <w:t>5%</w:t>
            </w: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(697)</w:t>
            </w: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9"/>
                <w:szCs w:val="9"/>
                <w:b w:val="1"/>
                <w:bCs w:val="1"/>
                <w:i w:val="1"/>
                <w:iCs w:val="1"/>
                <w:color w:val="auto"/>
                <w:w w:val="99"/>
              </w:rPr>
              <w:t>5%</w:t>
            </w: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9"/>
                <w:szCs w:val="9"/>
                <w:color w:val="auto"/>
              </w:rPr>
              <w:t>(16)%</w:t>
            </w:r>
          </w:p>
        </w:tc>
        <w:tc>
          <w:tcPr>
            <w:tcW w:w="6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9"/>
                <w:szCs w:val="9"/>
                <w:color w:val="auto"/>
              </w:rPr>
              <w:t>7%</w:t>
            </w:r>
          </w:p>
        </w:tc>
        <w:tc>
          <w:tcPr>
            <w:tcW w:w="0" w:type="dxa"/>
            <w:vAlign w:val="bottom"/>
          </w:tcPr>
          <w:p>
            <w:pPr>
              <w:spacing w:after="0"/>
              <w:rPr>
                <w:sz w:val="1"/>
                <w:szCs w:val="1"/>
                <w:color w:val="auto"/>
              </w:rPr>
            </w:pPr>
          </w:p>
        </w:tc>
      </w:tr>
      <w:tr>
        <w:trPr>
          <w:trHeight w:val="82"/>
        </w:trPr>
        <w:tc>
          <w:tcPr>
            <w:tcW w:w="1700" w:type="dxa"/>
            <w:vAlign w:val="bottom"/>
          </w:tcPr>
          <w:p>
            <w:pPr>
              <w:spacing w:after="0"/>
              <w:rPr>
                <w:sz w:val="7"/>
                <w:szCs w:val="7"/>
                <w:color w:val="auto"/>
              </w:rPr>
            </w:pPr>
          </w:p>
        </w:tc>
        <w:tc>
          <w:tcPr>
            <w:tcW w:w="27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(919)</w:t>
            </w:r>
          </w:p>
        </w:tc>
        <w:tc>
          <w:tcPr>
            <w:tcW w:w="60" w:type="dxa"/>
            <w:vAlign w:val="bottom"/>
          </w:tcPr>
          <w:p>
            <w:pPr>
              <w:spacing w:after="0"/>
              <w:rPr>
                <w:sz w:val="7"/>
                <w:szCs w:val="7"/>
                <w:color w:val="auto"/>
              </w:rPr>
            </w:pPr>
          </w:p>
        </w:tc>
        <w:tc>
          <w:tcPr>
            <w:tcW w:w="38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i w:val="1"/>
                <w:iCs w:val="1"/>
                <w:color w:val="auto"/>
                <w:w w:val="96"/>
              </w:rPr>
              <w:t>20%</w:t>
            </w:r>
          </w:p>
        </w:tc>
        <w:tc>
          <w:tcPr>
            <w:tcW w:w="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(997)</w:t>
            </w:r>
          </w:p>
        </w:tc>
        <w:tc>
          <w:tcPr>
            <w:tcW w:w="60" w:type="dxa"/>
            <w:vAlign w:val="bottom"/>
          </w:tcPr>
          <w:p>
            <w:pPr>
              <w:spacing w:after="0"/>
              <w:rPr>
                <w:sz w:val="7"/>
                <w:szCs w:val="7"/>
                <w:color w:val="auto"/>
              </w:rPr>
            </w:pPr>
          </w:p>
        </w:tc>
        <w:tc>
          <w:tcPr>
            <w:tcW w:w="460" w:type="dxa"/>
            <w:vAlign w:val="bottom"/>
          </w:tcPr>
          <w:p>
            <w:pPr>
              <w:jc w:val="center"/>
              <w:ind w:right="17"/>
              <w:spacing w:after="0" w:line="83" w:lineRule="exact"/>
              <w:rPr>
                <w:sz w:val="20"/>
                <w:szCs w:val="20"/>
                <w:color w:val="auto"/>
              </w:rPr>
            </w:pPr>
            <w:r>
              <w:rPr>
                <w:rFonts w:ascii="Times New Roman" w:cs="Times New Roman" w:eastAsia="Times New Roman" w:hAnsi="Times New Roman"/>
                <w:sz w:val="9"/>
                <w:szCs w:val="9"/>
                <w:i w:val="1"/>
                <w:iCs w:val="1"/>
                <w:color w:val="auto"/>
                <w:w w:val="96"/>
              </w:rPr>
              <w:t>20%</w:t>
            </w:r>
          </w:p>
        </w:tc>
        <w:tc>
          <w:tcPr>
            <w:tcW w:w="360" w:type="dxa"/>
            <w:vAlign w:val="bottom"/>
          </w:tcPr>
          <w:p>
            <w:pPr>
              <w:spacing w:after="0"/>
              <w:rPr>
                <w:sz w:val="7"/>
                <w:szCs w:val="7"/>
                <w:color w:val="auto"/>
              </w:rPr>
            </w:pPr>
          </w:p>
        </w:tc>
        <w:tc>
          <w:tcPr>
            <w:tcW w:w="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(2,933)</w:t>
            </w:r>
          </w:p>
        </w:tc>
        <w:tc>
          <w:tcPr>
            <w:tcW w:w="60" w:type="dxa"/>
            <w:vAlign w:val="bottom"/>
          </w:tcPr>
          <w:p>
            <w:pPr>
              <w:spacing w:after="0"/>
              <w:rPr>
                <w:sz w:val="7"/>
                <w:szCs w:val="7"/>
                <w:color w:val="auto"/>
              </w:rPr>
            </w:pPr>
          </w:p>
        </w:tc>
        <w:tc>
          <w:tcPr>
            <w:tcW w:w="460" w:type="dxa"/>
            <w:vAlign w:val="bottom"/>
          </w:tcPr>
          <w:p>
            <w:pPr>
              <w:jc w:val="center"/>
              <w:ind w:right="17"/>
              <w:spacing w:after="0" w:line="83" w:lineRule="exact"/>
              <w:rPr>
                <w:sz w:val="20"/>
                <w:szCs w:val="20"/>
                <w:color w:val="auto"/>
              </w:rPr>
            </w:pPr>
            <w:r>
              <w:rPr>
                <w:rFonts w:ascii="Times New Roman" w:cs="Times New Roman" w:eastAsia="Times New Roman" w:hAnsi="Times New Roman"/>
                <w:sz w:val="9"/>
                <w:szCs w:val="9"/>
                <w:i w:val="1"/>
                <w:iCs w:val="1"/>
                <w:color w:val="auto"/>
                <w:w w:val="96"/>
              </w:rPr>
              <w:t>21%</w:t>
            </w:r>
          </w:p>
        </w:tc>
        <w:tc>
          <w:tcPr>
            <w:tcW w:w="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(3,137)</w:t>
            </w:r>
          </w:p>
        </w:tc>
        <w:tc>
          <w:tcPr>
            <w:tcW w:w="60" w:type="dxa"/>
            <w:vAlign w:val="bottom"/>
          </w:tcPr>
          <w:p>
            <w:pPr>
              <w:spacing w:after="0"/>
              <w:rPr>
                <w:sz w:val="7"/>
                <w:szCs w:val="7"/>
                <w:color w:val="auto"/>
              </w:rPr>
            </w:pPr>
          </w:p>
        </w:tc>
        <w:tc>
          <w:tcPr>
            <w:tcW w:w="440" w:type="dxa"/>
            <w:vAlign w:val="bottom"/>
          </w:tcPr>
          <w:p>
            <w:pPr>
              <w:jc w:val="center"/>
              <w:ind w:right="37"/>
              <w:spacing w:after="0" w:line="83" w:lineRule="exact"/>
              <w:rPr>
                <w:sz w:val="20"/>
                <w:szCs w:val="20"/>
                <w:color w:val="auto"/>
              </w:rPr>
            </w:pPr>
            <w:r>
              <w:rPr>
                <w:rFonts w:ascii="Times New Roman" w:cs="Times New Roman" w:eastAsia="Times New Roman" w:hAnsi="Times New Roman"/>
                <w:sz w:val="9"/>
                <w:szCs w:val="9"/>
                <w:i w:val="1"/>
                <w:iCs w:val="1"/>
                <w:color w:val="auto"/>
                <w:w w:val="96"/>
              </w:rPr>
              <w:t>21%</w:t>
            </w:r>
          </w:p>
        </w:tc>
        <w:tc>
          <w:tcPr>
            <w:tcW w:w="60" w:type="dxa"/>
            <w:vAlign w:val="bottom"/>
          </w:tcPr>
          <w:p>
            <w:pPr>
              <w:spacing w:after="0"/>
              <w:rPr>
                <w:sz w:val="7"/>
                <w:szCs w:val="7"/>
                <w:color w:val="auto"/>
              </w:rPr>
            </w:pPr>
          </w:p>
        </w:tc>
        <w:tc>
          <w:tcPr>
            <w:tcW w:w="740" w:type="dxa"/>
            <w:vAlign w:val="bottom"/>
          </w:tcPr>
          <w:p>
            <w:pPr>
              <w:jc w:val="right"/>
              <w:ind w:right="57"/>
              <w:spacing w:after="0" w:line="83" w:lineRule="exact"/>
              <w:rPr>
                <w:sz w:val="20"/>
                <w:szCs w:val="20"/>
                <w:color w:val="auto"/>
              </w:rPr>
            </w:pPr>
            <w:r>
              <w:rPr>
                <w:rFonts w:ascii="Times New Roman" w:cs="Times New Roman" w:eastAsia="Times New Roman" w:hAnsi="Times New Roman"/>
                <w:sz w:val="9"/>
                <w:szCs w:val="9"/>
                <w:color w:val="auto"/>
              </w:rPr>
              <w:t>8%</w:t>
            </w:r>
          </w:p>
        </w:tc>
        <w:tc>
          <w:tcPr>
            <w:tcW w:w="620" w:type="dxa"/>
            <w:vAlign w:val="bottom"/>
          </w:tcPr>
          <w:p>
            <w:pPr>
              <w:jc w:val="right"/>
              <w:ind w:right="57"/>
              <w:spacing w:after="0" w:line="83" w:lineRule="exact"/>
              <w:rPr>
                <w:sz w:val="20"/>
                <w:szCs w:val="20"/>
                <w:color w:val="auto"/>
              </w:rPr>
            </w:pPr>
            <w:r>
              <w:rPr>
                <w:rFonts w:ascii="Times New Roman" w:cs="Times New Roman" w:eastAsia="Times New Roman" w:hAnsi="Times New Roman"/>
                <w:sz w:val="9"/>
                <w:szCs w:val="9"/>
                <w:color w:val="auto"/>
              </w:rPr>
              <w:t>7%</w:t>
            </w:r>
          </w:p>
        </w:tc>
        <w:tc>
          <w:tcPr>
            <w:tcW w:w="0" w:type="dxa"/>
            <w:vAlign w:val="bottom"/>
          </w:tcPr>
          <w:p>
            <w:pPr>
              <w:spacing w:after="0"/>
              <w:rPr>
                <w:sz w:val="1"/>
                <w:szCs w:val="1"/>
                <w:color w:val="auto"/>
              </w:rPr>
            </w:pPr>
          </w:p>
        </w:tc>
      </w:tr>
      <w:tr>
        <w:trPr>
          <w:trHeight w:val="93"/>
        </w:trPr>
        <w:tc>
          <w:tcPr>
            <w:tcW w:w="1700" w:type="dxa"/>
            <w:vAlign w:val="bottom"/>
            <w:shd w:val="clear" w:color="auto" w:fill="CCEEFF"/>
          </w:tcPr>
          <w:p>
            <w:pPr>
              <w:spacing w:after="0"/>
              <w:rPr>
                <w:sz w:val="8"/>
                <w:szCs w:val="8"/>
                <w:color w:val="auto"/>
              </w:rPr>
            </w:pPr>
          </w:p>
        </w:tc>
        <w:tc>
          <w:tcPr>
            <w:tcW w:w="2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700" w:type="dxa"/>
            <w:vAlign w:val="bottom"/>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New Zealand</w:t>
            </w:r>
          </w:p>
        </w:tc>
        <w:tc>
          <w:tcPr>
            <w:tcW w:w="2700" w:type="dxa"/>
            <w:vAlign w:val="bottom"/>
          </w:tcPr>
          <w:p>
            <w:pPr>
              <w:ind w:left="20"/>
              <w:spacing w:after="0" w:line="94" w:lineRule="exact"/>
              <w:rPr>
                <w:sz w:val="20"/>
                <w:szCs w:val="20"/>
                <w:color w:val="auto"/>
              </w:rPr>
            </w:pPr>
            <w:r>
              <w:rPr>
                <w:rFonts w:ascii="Times New Roman" w:cs="Times New Roman" w:eastAsia="Times New Roman" w:hAnsi="Times New Roman"/>
                <w:sz w:val="9"/>
                <w:szCs w:val="9"/>
                <w:color w:val="auto"/>
              </w:rPr>
              <w:t>Occupancy expense</w:t>
            </w:r>
          </w:p>
        </w:tc>
        <w:tc>
          <w:tcPr>
            <w:tcW w:w="120" w:type="dxa"/>
            <w:vAlign w:val="bottom"/>
          </w:tcPr>
          <w:p>
            <w:pPr>
              <w:spacing w:after="0"/>
              <w:rPr>
                <w:sz w:val="8"/>
                <w:szCs w:val="8"/>
                <w:color w:val="auto"/>
              </w:rPr>
            </w:pP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(6)</w:t>
            </w:r>
          </w:p>
        </w:tc>
        <w:tc>
          <w:tcPr>
            <w:tcW w:w="60" w:type="dxa"/>
            <w:vAlign w:val="bottom"/>
          </w:tcPr>
          <w:p>
            <w:pPr>
              <w:spacing w:after="0"/>
              <w:rPr>
                <w:sz w:val="8"/>
                <w:szCs w:val="8"/>
                <w:color w:val="auto"/>
              </w:rPr>
            </w:pPr>
          </w:p>
        </w:tc>
        <w:tc>
          <w:tcPr>
            <w:tcW w:w="38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(129)</w:t>
            </w:r>
          </w:p>
        </w:tc>
        <w:tc>
          <w:tcPr>
            <w:tcW w:w="46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3%</w:t>
            </w:r>
          </w:p>
        </w:tc>
        <w:tc>
          <w:tcPr>
            <w:tcW w:w="360" w:type="dxa"/>
            <w:vAlign w:val="bottom"/>
          </w:tcPr>
          <w:p>
            <w:pPr>
              <w:spacing w:after="0"/>
              <w:rPr>
                <w:sz w:val="8"/>
                <w:szCs w:val="8"/>
                <w:color w:val="auto"/>
              </w:rPr>
            </w:pP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(95)</w:t>
            </w:r>
          </w:p>
        </w:tc>
        <w:tc>
          <w:tcPr>
            <w:tcW w:w="46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80" w:type="dxa"/>
            <w:vAlign w:val="bottom"/>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(350)</w:t>
            </w:r>
          </w:p>
        </w:tc>
        <w:tc>
          <w:tcPr>
            <w:tcW w:w="60" w:type="dxa"/>
            <w:vAlign w:val="bottom"/>
          </w:tcPr>
          <w:p>
            <w:pPr>
              <w:spacing w:after="0"/>
              <w:rPr>
                <w:sz w:val="8"/>
                <w:szCs w:val="8"/>
                <w:color w:val="auto"/>
              </w:rPr>
            </w:pPr>
          </w:p>
        </w:tc>
        <w:tc>
          <w:tcPr>
            <w:tcW w:w="440" w:type="dxa"/>
            <w:vAlign w:val="bottom"/>
          </w:tcPr>
          <w:p>
            <w:pPr>
              <w:jc w:val="center"/>
              <w:ind w:right="37"/>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60" w:type="dxa"/>
            <w:vAlign w:val="bottom"/>
          </w:tcPr>
          <w:p>
            <w:pPr>
              <w:spacing w:after="0"/>
              <w:rPr>
                <w:sz w:val="8"/>
                <w:szCs w:val="8"/>
                <w:color w:val="auto"/>
              </w:rPr>
            </w:pPr>
          </w:p>
        </w:tc>
        <w:tc>
          <w:tcPr>
            <w:tcW w:w="7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95%</w:t>
            </w:r>
          </w:p>
        </w:tc>
        <w:tc>
          <w:tcPr>
            <w:tcW w:w="62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73%</w:t>
            </w:r>
          </w:p>
        </w:tc>
        <w:tc>
          <w:tcPr>
            <w:tcW w:w="0" w:type="dxa"/>
            <w:vAlign w:val="bottom"/>
          </w:tcPr>
          <w:p>
            <w:pPr>
              <w:spacing w:after="0"/>
              <w:rPr>
                <w:sz w:val="1"/>
                <w:szCs w:val="1"/>
                <w:color w:val="auto"/>
              </w:rPr>
            </w:pPr>
          </w:p>
        </w:tc>
      </w:tr>
      <w:tr>
        <w:trPr>
          <w:trHeight w:val="112"/>
        </w:trPr>
        <w:tc>
          <w:tcPr>
            <w:tcW w:w="1700" w:type="dxa"/>
            <w:vAlign w:val="bottom"/>
            <w:shd w:val="clear" w:color="auto" w:fill="CCEEFF"/>
          </w:tcPr>
          <w:p>
            <w:pPr>
              <w:spacing w:after="0"/>
              <w:rPr>
                <w:sz w:val="9"/>
                <w:szCs w:val="9"/>
                <w:color w:val="auto"/>
              </w:rPr>
            </w:pP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Labor cost</w:t>
            </w:r>
          </w:p>
        </w:tc>
        <w:tc>
          <w:tcPr>
            <w:tcW w:w="12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9"/>
                <w:szCs w:val="9"/>
                <w:i w:val="1"/>
                <w:iCs w:val="1"/>
                <w:color w:val="auto"/>
                <w:w w:val="99"/>
              </w:rPr>
              <w:t>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(6)</w:t>
            </w:r>
          </w:p>
        </w:tc>
        <w:tc>
          <w:tcPr>
            <w:tcW w:w="46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9"/>
                <w:szCs w:val="9"/>
                <w:i w:val="1"/>
                <w:iCs w:val="1"/>
                <w:color w:val="auto"/>
                <w:w w:val="99"/>
              </w:rPr>
              <w:t>0%</w:t>
            </w: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(2)</w:t>
            </w:r>
          </w:p>
        </w:tc>
        <w:tc>
          <w:tcPr>
            <w:tcW w:w="46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9"/>
                <w:szCs w:val="9"/>
                <w:i w:val="1"/>
                <w:iCs w:val="1"/>
                <w:color w:val="auto"/>
                <w:w w:val="99"/>
              </w:rPr>
              <w:t>0%</w:t>
            </w:r>
          </w:p>
        </w:tc>
        <w:tc>
          <w:tcPr>
            <w:tcW w:w="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(17)</w:t>
            </w:r>
          </w:p>
        </w:tc>
        <w:tc>
          <w:tcPr>
            <w:tcW w:w="44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9"/>
                <w:szCs w:val="9"/>
                <w:i w:val="1"/>
                <w:iCs w:val="1"/>
                <w:color w:val="auto"/>
                <w:w w:val="99"/>
              </w:rPr>
              <w:t>0%</w:t>
            </w: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9"/>
                <w:szCs w:val="9"/>
                <w:color w:val="auto"/>
              </w:rPr>
              <w:t>100%</w:t>
            </w:r>
          </w:p>
        </w:tc>
        <w:tc>
          <w:tcPr>
            <w:tcW w:w="6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9"/>
                <w:szCs w:val="9"/>
                <w:color w:val="auto"/>
              </w:rPr>
              <w:t>88%</w:t>
            </w:r>
          </w:p>
        </w:tc>
        <w:tc>
          <w:tcPr>
            <w:tcW w:w="0" w:type="dxa"/>
            <w:vAlign w:val="bottom"/>
          </w:tcPr>
          <w:p>
            <w:pPr>
              <w:spacing w:after="0"/>
              <w:rPr>
                <w:sz w:val="1"/>
                <w:szCs w:val="1"/>
                <w:color w:val="auto"/>
              </w:rPr>
            </w:pPr>
          </w:p>
        </w:tc>
      </w:tr>
      <w:tr>
        <w:trPr>
          <w:trHeight w:val="112"/>
        </w:trPr>
        <w:tc>
          <w:tcPr>
            <w:tcW w:w="1700" w:type="dxa"/>
            <w:vAlign w:val="bottom"/>
          </w:tcPr>
          <w:p>
            <w:pPr>
              <w:spacing w:after="0"/>
              <w:rPr>
                <w:sz w:val="9"/>
                <w:szCs w:val="9"/>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9"/>
                <w:szCs w:val="9"/>
                <w:color w:val="auto"/>
              </w:rPr>
              <w:t>Utilities</w:t>
            </w:r>
          </w:p>
        </w:tc>
        <w:tc>
          <w:tcPr>
            <w:tcW w:w="120" w:type="dxa"/>
            <w:vAlign w:val="bottom"/>
          </w:tcPr>
          <w:p>
            <w:pPr>
              <w:spacing w:after="0"/>
              <w:rPr>
                <w:sz w:val="9"/>
                <w:szCs w:val="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9"/>
                <w:szCs w:val="9"/>
                <w:i w:val="1"/>
                <w:iCs w:val="1"/>
                <w:color w:val="auto"/>
                <w:w w:val="99"/>
              </w:rPr>
              <w:t>0%</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(13)</w:t>
            </w:r>
          </w:p>
        </w:tc>
        <w:tc>
          <w:tcPr>
            <w:tcW w:w="460" w:type="dxa"/>
            <w:vAlign w:val="bottom"/>
          </w:tcPr>
          <w:p>
            <w:pPr>
              <w:jc w:val="center"/>
              <w:ind w:right="17"/>
              <w:spacing w:after="0"/>
              <w:rPr>
                <w:sz w:val="20"/>
                <w:szCs w:val="20"/>
                <w:color w:val="auto"/>
              </w:rPr>
            </w:pPr>
            <w:r>
              <w:rPr>
                <w:rFonts w:ascii="Times New Roman" w:cs="Times New Roman" w:eastAsia="Times New Roman" w:hAnsi="Times New Roman"/>
                <w:sz w:val="9"/>
                <w:szCs w:val="9"/>
                <w:i w:val="1"/>
                <w:iCs w:val="1"/>
                <w:color w:val="auto"/>
                <w:w w:val="99"/>
              </w:rPr>
              <w:t>0%</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(5)</w:t>
            </w:r>
          </w:p>
        </w:tc>
        <w:tc>
          <w:tcPr>
            <w:tcW w:w="460" w:type="dxa"/>
            <w:vAlign w:val="bottom"/>
          </w:tcPr>
          <w:p>
            <w:pPr>
              <w:jc w:val="center"/>
              <w:ind w:right="17"/>
              <w:spacing w:after="0"/>
              <w:rPr>
                <w:sz w:val="20"/>
                <w:szCs w:val="20"/>
                <w:color w:val="auto"/>
              </w:rPr>
            </w:pPr>
            <w:r>
              <w:rPr>
                <w:rFonts w:ascii="Times New Roman" w:cs="Times New Roman" w:eastAsia="Times New Roman" w:hAnsi="Times New Roman"/>
                <w:sz w:val="9"/>
                <w:szCs w:val="9"/>
                <w:i w:val="1"/>
                <w:iCs w:val="1"/>
                <w:color w:val="auto"/>
                <w:w w:val="99"/>
              </w:rPr>
              <w:t>0%</w:t>
            </w:r>
          </w:p>
        </w:tc>
        <w:tc>
          <w:tcPr>
            <w:tcW w:w="80" w:type="dxa"/>
            <w:vAlign w:val="bottom"/>
          </w:tcPr>
          <w:p>
            <w:pPr>
              <w:spacing w:after="0"/>
              <w:rPr>
                <w:sz w:val="9"/>
                <w:szCs w:val="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(49)</w:t>
            </w:r>
          </w:p>
        </w:tc>
        <w:tc>
          <w:tcPr>
            <w:tcW w:w="440" w:type="dxa"/>
            <w:vAlign w:val="bottom"/>
          </w:tcPr>
          <w:p>
            <w:pPr>
              <w:jc w:val="center"/>
              <w:ind w:right="37"/>
              <w:spacing w:after="0"/>
              <w:rPr>
                <w:sz w:val="20"/>
                <w:szCs w:val="20"/>
                <w:color w:val="auto"/>
              </w:rPr>
            </w:pPr>
            <w:r>
              <w:rPr>
                <w:rFonts w:ascii="Times New Roman" w:cs="Times New Roman" w:eastAsia="Times New Roman" w:hAnsi="Times New Roman"/>
                <w:sz w:val="9"/>
                <w:szCs w:val="9"/>
                <w:i w:val="1"/>
                <w:iCs w:val="1"/>
                <w:color w:val="auto"/>
                <w:w w:val="99"/>
              </w:rPr>
              <w:t>0%</w:t>
            </w:r>
          </w:p>
        </w:tc>
        <w:tc>
          <w:tcPr>
            <w:tcW w:w="60" w:type="dxa"/>
            <w:vAlign w:val="bottom"/>
          </w:tcPr>
          <w:p>
            <w:pPr>
              <w:spacing w:after="0"/>
              <w:rPr>
                <w:sz w:val="9"/>
                <w:szCs w:val="9"/>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9"/>
                <w:szCs w:val="9"/>
                <w:color w:val="auto"/>
              </w:rPr>
              <w:t>100%</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9"/>
                <w:szCs w:val="9"/>
                <w:color w:val="auto"/>
              </w:rPr>
              <w:t>90%</w:t>
            </w:r>
          </w:p>
        </w:tc>
        <w:tc>
          <w:tcPr>
            <w:tcW w:w="0" w:type="dxa"/>
            <w:vAlign w:val="bottom"/>
          </w:tcPr>
          <w:p>
            <w:pPr>
              <w:spacing w:after="0"/>
              <w:rPr>
                <w:sz w:val="1"/>
                <w:szCs w:val="1"/>
                <w:color w:val="auto"/>
              </w:rPr>
            </w:pPr>
          </w:p>
        </w:tc>
      </w:tr>
      <w:tr>
        <w:trPr>
          <w:trHeight w:val="112"/>
        </w:trPr>
        <w:tc>
          <w:tcPr>
            <w:tcW w:w="1700" w:type="dxa"/>
            <w:vAlign w:val="bottom"/>
            <w:shd w:val="clear" w:color="auto" w:fill="CCEEFF"/>
          </w:tcPr>
          <w:p>
            <w:pPr>
              <w:spacing w:after="0"/>
              <w:rPr>
                <w:sz w:val="9"/>
                <w:szCs w:val="9"/>
                <w:color w:val="auto"/>
              </w:rPr>
            </w:pP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Cleaning and maintenance</w:t>
            </w:r>
          </w:p>
        </w:tc>
        <w:tc>
          <w:tcPr>
            <w:tcW w:w="12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9"/>
                <w:szCs w:val="9"/>
                <w:i w:val="1"/>
                <w:iCs w:val="1"/>
                <w:color w:val="auto"/>
                <w:w w:val="99"/>
              </w:rPr>
              <w:t>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(15)</w:t>
            </w:r>
          </w:p>
        </w:tc>
        <w:tc>
          <w:tcPr>
            <w:tcW w:w="46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9"/>
                <w:szCs w:val="9"/>
                <w:i w:val="1"/>
                <w:iCs w:val="1"/>
                <w:color w:val="auto"/>
                <w:w w:val="99"/>
              </w:rPr>
              <w:t>0%</w:t>
            </w: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(4)</w:t>
            </w:r>
          </w:p>
        </w:tc>
        <w:tc>
          <w:tcPr>
            <w:tcW w:w="46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9"/>
                <w:szCs w:val="9"/>
                <w:i w:val="1"/>
                <w:iCs w:val="1"/>
                <w:color w:val="auto"/>
                <w:w w:val="99"/>
              </w:rPr>
              <w:t>0%</w:t>
            </w:r>
          </w:p>
        </w:tc>
        <w:tc>
          <w:tcPr>
            <w:tcW w:w="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rPr>
              <w:t>(33)</w:t>
            </w:r>
          </w:p>
        </w:tc>
        <w:tc>
          <w:tcPr>
            <w:tcW w:w="44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9"/>
                <w:szCs w:val="9"/>
                <w:i w:val="1"/>
                <w:iCs w:val="1"/>
                <w:color w:val="auto"/>
                <w:w w:val="99"/>
              </w:rPr>
              <w:t>0%</w:t>
            </w: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9"/>
                <w:szCs w:val="9"/>
                <w:color w:val="auto"/>
              </w:rPr>
              <w:t>100%</w:t>
            </w:r>
          </w:p>
        </w:tc>
        <w:tc>
          <w:tcPr>
            <w:tcW w:w="6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9"/>
                <w:szCs w:val="9"/>
                <w:color w:val="auto"/>
              </w:rPr>
              <w:t>88%</w:t>
            </w:r>
          </w:p>
        </w:tc>
        <w:tc>
          <w:tcPr>
            <w:tcW w:w="0" w:type="dxa"/>
            <w:vAlign w:val="bottom"/>
          </w:tcPr>
          <w:p>
            <w:pPr>
              <w:spacing w:after="0"/>
              <w:rPr>
                <w:sz w:val="1"/>
                <w:szCs w:val="1"/>
                <w:color w:val="auto"/>
              </w:rPr>
            </w:pPr>
          </w:p>
        </w:tc>
      </w:tr>
      <w:tr>
        <w:trPr>
          <w:trHeight w:val="112"/>
        </w:trPr>
        <w:tc>
          <w:tcPr>
            <w:tcW w:w="1700" w:type="dxa"/>
            <w:vAlign w:val="bottom"/>
          </w:tcPr>
          <w:p>
            <w:pPr>
              <w:spacing w:after="0"/>
              <w:rPr>
                <w:sz w:val="9"/>
                <w:szCs w:val="9"/>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9"/>
                <w:szCs w:val="9"/>
                <w:color w:val="auto"/>
              </w:rPr>
              <w:t>Other operating expenses</w:t>
            </w:r>
          </w:p>
        </w:tc>
        <w:tc>
          <w:tcPr>
            <w:tcW w:w="120" w:type="dxa"/>
            <w:vAlign w:val="bottom"/>
          </w:tcPr>
          <w:p>
            <w:pPr>
              <w:spacing w:after="0"/>
              <w:rPr>
                <w:sz w:val="9"/>
                <w:szCs w:val="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(65)</w:t>
            </w:r>
          </w:p>
        </w:tc>
        <w:tc>
          <w:tcPr>
            <w:tcW w:w="380" w:type="dxa"/>
            <w:vAlign w:val="bottom"/>
          </w:tcPr>
          <w:p>
            <w:pPr>
              <w:jc w:val="center"/>
              <w:spacing w:after="0"/>
              <w:rPr>
                <w:sz w:val="20"/>
                <w:szCs w:val="20"/>
                <w:color w:val="auto"/>
              </w:rPr>
            </w:pPr>
            <w:r>
              <w:rPr>
                <w:rFonts w:ascii="Times New Roman" w:cs="Times New Roman" w:eastAsia="Times New Roman" w:hAnsi="Times New Roman"/>
                <w:sz w:val="9"/>
                <w:szCs w:val="9"/>
                <w:i w:val="1"/>
                <w:iCs w:val="1"/>
                <w:color w:val="auto"/>
                <w:w w:val="99"/>
              </w:rPr>
              <w:t>1%</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(292)</w:t>
            </w:r>
          </w:p>
        </w:tc>
        <w:tc>
          <w:tcPr>
            <w:tcW w:w="460" w:type="dxa"/>
            <w:vAlign w:val="bottom"/>
          </w:tcPr>
          <w:p>
            <w:pPr>
              <w:jc w:val="center"/>
              <w:ind w:right="17"/>
              <w:spacing w:after="0"/>
              <w:rPr>
                <w:sz w:val="20"/>
                <w:szCs w:val="20"/>
                <w:color w:val="auto"/>
              </w:rPr>
            </w:pPr>
            <w:r>
              <w:rPr>
                <w:rFonts w:ascii="Times New Roman" w:cs="Times New Roman" w:eastAsia="Times New Roman" w:hAnsi="Times New Roman"/>
                <w:sz w:val="9"/>
                <w:szCs w:val="9"/>
                <w:i w:val="1"/>
                <w:iCs w:val="1"/>
                <w:color w:val="auto"/>
                <w:w w:val="99"/>
              </w:rPr>
              <w:t>6%</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(338)</w:t>
            </w:r>
          </w:p>
        </w:tc>
        <w:tc>
          <w:tcPr>
            <w:tcW w:w="460" w:type="dxa"/>
            <w:vAlign w:val="bottom"/>
          </w:tcPr>
          <w:p>
            <w:pPr>
              <w:jc w:val="center"/>
              <w:ind w:right="17"/>
              <w:spacing w:after="0"/>
              <w:rPr>
                <w:sz w:val="20"/>
                <w:szCs w:val="20"/>
                <w:color w:val="auto"/>
              </w:rPr>
            </w:pPr>
            <w:r>
              <w:rPr>
                <w:rFonts w:ascii="Times New Roman" w:cs="Times New Roman" w:eastAsia="Times New Roman" w:hAnsi="Times New Roman"/>
                <w:sz w:val="9"/>
                <w:szCs w:val="9"/>
                <w:i w:val="1"/>
                <w:iCs w:val="1"/>
                <w:color w:val="auto"/>
                <w:w w:val="99"/>
              </w:rPr>
              <w:t>2%</w:t>
            </w:r>
          </w:p>
        </w:tc>
        <w:tc>
          <w:tcPr>
            <w:tcW w:w="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(920)</w:t>
            </w:r>
          </w:p>
        </w:tc>
        <w:tc>
          <w:tcPr>
            <w:tcW w:w="60" w:type="dxa"/>
            <w:vAlign w:val="bottom"/>
          </w:tcPr>
          <w:p>
            <w:pPr>
              <w:spacing w:after="0"/>
              <w:rPr>
                <w:sz w:val="9"/>
                <w:szCs w:val="9"/>
                <w:color w:val="auto"/>
              </w:rPr>
            </w:pPr>
          </w:p>
        </w:tc>
        <w:tc>
          <w:tcPr>
            <w:tcW w:w="440" w:type="dxa"/>
            <w:vAlign w:val="bottom"/>
          </w:tcPr>
          <w:p>
            <w:pPr>
              <w:jc w:val="center"/>
              <w:ind w:right="37"/>
              <w:spacing w:after="0"/>
              <w:rPr>
                <w:sz w:val="20"/>
                <w:szCs w:val="20"/>
                <w:color w:val="auto"/>
              </w:rPr>
            </w:pPr>
            <w:r>
              <w:rPr>
                <w:rFonts w:ascii="Times New Roman" w:cs="Times New Roman" w:eastAsia="Times New Roman" w:hAnsi="Times New Roman"/>
                <w:sz w:val="9"/>
                <w:szCs w:val="9"/>
                <w:i w:val="1"/>
                <w:iCs w:val="1"/>
                <w:color w:val="auto"/>
                <w:w w:val="99"/>
              </w:rPr>
              <w:t>6%</w:t>
            </w:r>
          </w:p>
        </w:tc>
        <w:tc>
          <w:tcPr>
            <w:tcW w:w="60" w:type="dxa"/>
            <w:vAlign w:val="bottom"/>
          </w:tcPr>
          <w:p>
            <w:pPr>
              <w:spacing w:after="0"/>
              <w:rPr>
                <w:sz w:val="9"/>
                <w:szCs w:val="9"/>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9"/>
                <w:szCs w:val="9"/>
                <w:color w:val="auto"/>
              </w:rPr>
              <w:t>78%</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9"/>
                <w:szCs w:val="9"/>
                <w:color w:val="auto"/>
              </w:rPr>
              <w:t>63%</w:t>
            </w:r>
          </w:p>
        </w:tc>
        <w:tc>
          <w:tcPr>
            <w:tcW w:w="0" w:type="dxa"/>
            <w:vAlign w:val="bottom"/>
          </w:tcPr>
          <w:p>
            <w:pPr>
              <w:spacing w:after="0"/>
              <w:rPr>
                <w:sz w:val="1"/>
                <w:szCs w:val="1"/>
                <w:color w:val="auto"/>
              </w:rPr>
            </w:pPr>
          </w:p>
        </w:tc>
      </w:tr>
      <w:tr>
        <w:trPr>
          <w:trHeight w:val="82"/>
        </w:trPr>
        <w:tc>
          <w:tcPr>
            <w:tcW w:w="1700" w:type="dxa"/>
            <w:vAlign w:val="bottom"/>
            <w:tcBorders>
              <w:top w:val="single" w:sz="8" w:color="CCEEFF"/>
            </w:tcBorders>
            <w:shd w:val="clear" w:color="auto" w:fill="CCEEFF"/>
          </w:tcPr>
          <w:p>
            <w:pPr>
              <w:spacing w:after="0"/>
              <w:rPr>
                <w:sz w:val="7"/>
                <w:szCs w:val="7"/>
                <w:color w:val="auto"/>
              </w:rPr>
            </w:pPr>
          </w:p>
        </w:tc>
        <w:tc>
          <w:tcPr>
            <w:tcW w:w="27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(71)</w:t>
            </w:r>
          </w:p>
        </w:tc>
        <w:tc>
          <w:tcPr>
            <w:tcW w:w="6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CCEEFF"/>
            </w:tcBorders>
            <w:shd w:val="clear" w:color="auto" w:fill="CCEEFF"/>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2%</w:t>
            </w:r>
          </w:p>
        </w:tc>
        <w:tc>
          <w:tcPr>
            <w:tcW w:w="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(455)</w:t>
            </w:r>
          </w:p>
        </w:tc>
        <w:tc>
          <w:tcPr>
            <w:tcW w:w="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jc w:val="center"/>
              <w:ind w:right="17"/>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9%</w:t>
            </w:r>
          </w:p>
        </w:tc>
        <w:tc>
          <w:tcPr>
            <w:tcW w:w="3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tcBorders>
              <w:top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(444)</w:t>
            </w:r>
          </w:p>
        </w:tc>
        <w:tc>
          <w:tcPr>
            <w:tcW w:w="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jc w:val="center"/>
              <w:ind w:right="17"/>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3%</w:t>
            </w: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Borders>
              <w:top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(1,369)</w:t>
            </w:r>
          </w:p>
        </w:tc>
        <w:tc>
          <w:tcPr>
            <w:tcW w:w="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CCEEFF"/>
            </w:tcBorders>
            <w:shd w:val="clear" w:color="auto" w:fill="CCEEFF"/>
          </w:tcPr>
          <w:p>
            <w:pPr>
              <w:jc w:val="center"/>
              <w:ind w:right="37"/>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9%</w:t>
            </w:r>
          </w:p>
        </w:tc>
        <w:tc>
          <w:tcPr>
            <w:tcW w:w="6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jc w:val="right"/>
              <w:ind w:right="37"/>
              <w:spacing w:after="0" w:line="83" w:lineRule="exact"/>
              <w:rPr>
                <w:sz w:val="20"/>
                <w:szCs w:val="20"/>
                <w:color w:val="auto"/>
              </w:rPr>
            </w:pPr>
            <w:r>
              <w:rPr>
                <w:rFonts w:ascii="Times New Roman" w:cs="Times New Roman" w:eastAsia="Times New Roman" w:hAnsi="Times New Roman"/>
                <w:sz w:val="9"/>
                <w:szCs w:val="9"/>
                <w:b w:val="1"/>
                <w:bCs w:val="1"/>
                <w:color w:val="auto"/>
              </w:rPr>
              <w:t>84%</w:t>
            </w:r>
          </w:p>
        </w:tc>
        <w:tc>
          <w:tcPr>
            <w:tcW w:w="620" w:type="dxa"/>
            <w:vAlign w:val="bottom"/>
            <w:tcBorders>
              <w:top w:val="single" w:sz="8" w:color="CCEEFF"/>
            </w:tcBorders>
            <w:shd w:val="clear" w:color="auto" w:fill="CCEEFF"/>
          </w:tcPr>
          <w:p>
            <w:pPr>
              <w:jc w:val="right"/>
              <w:ind w:right="37"/>
              <w:spacing w:after="0" w:line="83" w:lineRule="exact"/>
              <w:rPr>
                <w:sz w:val="20"/>
                <w:szCs w:val="20"/>
                <w:color w:val="auto"/>
              </w:rPr>
            </w:pPr>
            <w:r>
              <w:rPr>
                <w:rFonts w:ascii="Times New Roman" w:cs="Times New Roman" w:eastAsia="Times New Roman" w:hAnsi="Times New Roman"/>
                <w:sz w:val="9"/>
                <w:szCs w:val="9"/>
                <w:b w:val="1"/>
                <w:bCs w:val="1"/>
                <w:color w:val="auto"/>
              </w:rPr>
              <w:t>68%</w:t>
            </w:r>
          </w:p>
        </w:tc>
        <w:tc>
          <w:tcPr>
            <w:tcW w:w="0" w:type="dxa"/>
            <w:vAlign w:val="bottom"/>
          </w:tcPr>
          <w:p>
            <w:pPr>
              <w:spacing w:after="0"/>
              <w:rPr>
                <w:sz w:val="1"/>
                <w:szCs w:val="1"/>
                <w:color w:val="auto"/>
              </w:rPr>
            </w:pPr>
          </w:p>
        </w:tc>
      </w:tr>
      <w:tr>
        <w:trPr>
          <w:trHeight w:val="93"/>
        </w:trPr>
        <w:tc>
          <w:tcPr>
            <w:tcW w:w="17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700" w:type="dxa"/>
            <w:vAlign w:val="bottom"/>
            <w:shd w:val="clear" w:color="auto" w:fill="CCEEFF"/>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Total operating expense</w:t>
            </w:r>
          </w:p>
        </w:tc>
        <w:tc>
          <w:tcPr>
            <w:tcW w:w="2700" w:type="dxa"/>
            <w:vAlign w:val="bottom"/>
            <w:shd w:val="clear" w:color="auto" w:fill="CCEEFF"/>
          </w:tcPr>
          <w:p>
            <w:pPr>
              <w:spacing w:after="0"/>
              <w:rPr>
                <w:sz w:val="8"/>
                <w:szCs w:val="8"/>
                <w:color w:val="auto"/>
              </w:rPr>
            </w:pPr>
          </w:p>
        </w:tc>
        <w:tc>
          <w:tcPr>
            <w:tcW w:w="120" w:type="dxa"/>
            <w:vAlign w:val="bottom"/>
            <w:shd w:val="clear" w:color="auto" w:fill="CCEEFF"/>
          </w:tcPr>
          <w:p>
            <w:pPr>
              <w:jc w:val="right"/>
              <w:ind w:right="17"/>
              <w:spacing w:after="0" w:line="94" w:lineRule="exact"/>
              <w:rPr>
                <w:sz w:val="20"/>
                <w:szCs w:val="20"/>
                <w:color w:val="auto"/>
              </w:rPr>
            </w:pPr>
            <w:r>
              <w:rPr>
                <w:rFonts w:ascii="Times New Roman" w:cs="Times New Roman" w:eastAsia="Times New Roman" w:hAnsi="Times New Roman"/>
                <w:sz w:val="9"/>
                <w:szCs w:val="9"/>
                <w:b w:val="1"/>
                <w:bCs w:val="1"/>
                <w:color w:val="auto"/>
                <w:w w:val="87"/>
              </w:rPr>
              <w:t>$</w:t>
            </w:r>
          </w:p>
        </w:tc>
        <w:tc>
          <w:tcPr>
            <w:tcW w:w="6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b w:val="1"/>
                <w:bCs w:val="1"/>
                <w:color w:val="auto"/>
              </w:rPr>
              <w:t>(1,863)</w:t>
            </w: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6"/>
              </w:rPr>
              <w:t>41%</w:t>
            </w:r>
          </w:p>
        </w:tc>
        <w:tc>
          <w:tcPr>
            <w:tcW w:w="160" w:type="dxa"/>
            <w:vAlign w:val="bottom"/>
            <w:gridSpan w:val="2"/>
            <w:shd w:val="clear" w:color="auto" w:fill="CCEEFF"/>
          </w:tcPr>
          <w:p>
            <w:pPr>
              <w:jc w:val="right"/>
              <w:ind w:right="33"/>
              <w:spacing w:after="0" w:line="94" w:lineRule="exact"/>
              <w:rPr>
                <w:sz w:val="20"/>
                <w:szCs w:val="20"/>
                <w:color w:val="auto"/>
              </w:rPr>
            </w:pPr>
            <w:r>
              <w:rPr>
                <w:rFonts w:ascii="Times New Roman" w:cs="Times New Roman" w:eastAsia="Times New Roman" w:hAnsi="Times New Roman"/>
                <w:sz w:val="9"/>
                <w:szCs w:val="9"/>
                <w:b w:val="1"/>
                <w:bCs w:val="1"/>
                <w:color w:val="auto"/>
              </w:rPr>
              <w:t>$</w:t>
            </w:r>
          </w:p>
        </w:tc>
        <w:tc>
          <w:tcPr>
            <w:tcW w:w="72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b w:val="1"/>
                <w:bCs w:val="1"/>
                <w:color w:val="auto"/>
              </w:rPr>
              <w:t>(2,106)</w:t>
            </w:r>
          </w:p>
        </w:tc>
        <w:tc>
          <w:tcPr>
            <w:tcW w:w="460" w:type="dxa"/>
            <w:vAlign w:val="bottom"/>
            <w:shd w:val="clear" w:color="auto" w:fill="CCEEFF"/>
          </w:tcPr>
          <w:p>
            <w:pPr>
              <w:jc w:val="center"/>
              <w:ind w:right="17"/>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6"/>
              </w:rPr>
              <w:t>43%</w:t>
            </w: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b w:val="1"/>
                <w:bCs w:val="1"/>
                <w:color w:val="auto"/>
              </w:rPr>
              <w:t>(5,658)</w:t>
            </w:r>
          </w:p>
        </w:tc>
        <w:tc>
          <w:tcPr>
            <w:tcW w:w="460" w:type="dxa"/>
            <w:vAlign w:val="bottom"/>
            <w:shd w:val="clear" w:color="auto" w:fill="CCEEFF"/>
          </w:tcPr>
          <w:p>
            <w:pPr>
              <w:jc w:val="center"/>
              <w:ind w:right="17"/>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6"/>
              </w:rPr>
              <w:t>40%</w:t>
            </w:r>
          </w:p>
        </w:tc>
        <w:tc>
          <w:tcPr>
            <w:tcW w:w="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b w:val="1"/>
                <w:bCs w:val="1"/>
                <w:color w:val="auto"/>
              </w:rPr>
              <w:t>(6,801)</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center"/>
              <w:ind w:right="37"/>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6"/>
              </w:rPr>
              <w:t>46%</w:t>
            </w: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b w:val="1"/>
                <w:bCs w:val="1"/>
                <w:color w:val="auto"/>
              </w:rPr>
              <w:t>12%</w:t>
            </w:r>
          </w:p>
        </w:tc>
        <w:tc>
          <w:tcPr>
            <w:tcW w:w="62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b w:val="1"/>
                <w:bCs w:val="1"/>
                <w:color w:val="auto"/>
              </w:rPr>
              <w:t>17%</w:t>
            </w:r>
          </w:p>
        </w:tc>
        <w:tc>
          <w:tcPr>
            <w:tcW w:w="0" w:type="dxa"/>
            <w:vAlign w:val="bottom"/>
          </w:tcPr>
          <w:p>
            <w:pPr>
              <w:spacing w:after="0"/>
              <w:rPr>
                <w:sz w:val="1"/>
                <w:szCs w:val="1"/>
                <w:color w:val="auto"/>
              </w:rPr>
            </w:pPr>
          </w:p>
        </w:tc>
      </w:tr>
      <w:tr>
        <w:trPr>
          <w:trHeight w:val="92"/>
        </w:trPr>
        <w:tc>
          <w:tcPr>
            <w:tcW w:w="1700" w:type="dxa"/>
            <w:vAlign w:val="bottom"/>
            <w:tcBorders>
              <w:top w:val="single" w:sz="8" w:color="CCEEFF"/>
            </w:tcBorders>
          </w:tcPr>
          <w:p>
            <w:pPr>
              <w:spacing w:after="0"/>
              <w:rPr>
                <w:sz w:val="7"/>
                <w:szCs w:val="7"/>
                <w:color w:val="auto"/>
              </w:rPr>
            </w:pPr>
          </w:p>
        </w:tc>
        <w:tc>
          <w:tcPr>
            <w:tcW w:w="2700" w:type="dxa"/>
            <w:vAlign w:val="bottom"/>
            <w:tcBorders>
              <w:top w:val="single" w:sz="8" w:color="CCEEFF"/>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38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460" w:type="dxa"/>
            <w:vAlign w:val="bottom"/>
            <w:tcBorders>
              <w:top w:val="single" w:sz="8" w:color="CCEEFF"/>
            </w:tcBorders>
          </w:tcPr>
          <w:p>
            <w:pPr>
              <w:spacing w:after="0"/>
              <w:rPr>
                <w:sz w:val="7"/>
                <w:szCs w:val="7"/>
                <w:color w:val="auto"/>
              </w:rPr>
            </w:pPr>
          </w:p>
        </w:tc>
        <w:tc>
          <w:tcPr>
            <w:tcW w:w="36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46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44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740" w:type="dxa"/>
            <w:vAlign w:val="bottom"/>
            <w:tcBorders>
              <w:top w:val="single" w:sz="8" w:color="CCEEFF"/>
            </w:tcBorders>
          </w:tcPr>
          <w:p>
            <w:pPr>
              <w:spacing w:after="0"/>
              <w:rPr>
                <w:sz w:val="7"/>
                <w:szCs w:val="7"/>
                <w:color w:val="auto"/>
              </w:rPr>
            </w:pPr>
          </w:p>
        </w:tc>
        <w:tc>
          <w:tcPr>
            <w:tcW w:w="620" w:type="dxa"/>
            <w:vAlign w:val="bottom"/>
            <w:tcBorders>
              <w:top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40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9"/>
                <w:szCs w:val="9"/>
                <w:b w:val="1"/>
                <w:bCs w:val="1"/>
                <w:color w:val="auto"/>
              </w:rPr>
              <w:t>DEPRECIATION, AMORTIZATION, GENERAL AND ADMINISTRATIVE EXPENSE</w:t>
            </w: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700" w:type="dxa"/>
            <w:vAlign w:val="bottom"/>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United States</w:t>
            </w:r>
          </w:p>
        </w:tc>
        <w:tc>
          <w:tcPr>
            <w:tcW w:w="2700" w:type="dxa"/>
            <w:vAlign w:val="bottom"/>
          </w:tcPr>
          <w:p>
            <w:pPr>
              <w:ind w:left="20"/>
              <w:spacing w:after="0" w:line="94" w:lineRule="exact"/>
              <w:rPr>
                <w:sz w:val="20"/>
                <w:szCs w:val="20"/>
                <w:color w:val="auto"/>
              </w:rPr>
            </w:pPr>
            <w:r>
              <w:rPr>
                <w:rFonts w:ascii="Times New Roman" w:cs="Times New Roman" w:eastAsia="Times New Roman" w:hAnsi="Times New Roman"/>
                <w:sz w:val="9"/>
                <w:szCs w:val="9"/>
                <w:color w:val="auto"/>
              </w:rPr>
              <w:t>Depreciation and amortization</w:t>
            </w:r>
          </w:p>
        </w:tc>
        <w:tc>
          <w:tcPr>
            <w:tcW w:w="120" w:type="dxa"/>
            <w:vAlign w:val="bottom"/>
          </w:tcPr>
          <w:p>
            <w:pPr>
              <w:jc w:val="right"/>
              <w:ind w:right="17"/>
              <w:spacing w:after="0" w:line="94" w:lineRule="exact"/>
              <w:rPr>
                <w:sz w:val="20"/>
                <w:szCs w:val="20"/>
                <w:color w:val="auto"/>
              </w:rPr>
            </w:pPr>
            <w:r>
              <w:rPr>
                <w:rFonts w:ascii="Times New Roman" w:cs="Times New Roman" w:eastAsia="Times New Roman" w:hAnsi="Times New Roman"/>
                <w:sz w:val="9"/>
                <w:szCs w:val="9"/>
                <w:color w:val="auto"/>
                <w:w w:val="87"/>
              </w:rPr>
              <w:t>$</w:t>
            </w: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(658)</w:t>
            </w:r>
          </w:p>
        </w:tc>
        <w:tc>
          <w:tcPr>
            <w:tcW w:w="60" w:type="dxa"/>
            <w:vAlign w:val="bottom"/>
          </w:tcPr>
          <w:p>
            <w:pPr>
              <w:spacing w:after="0"/>
              <w:rPr>
                <w:sz w:val="8"/>
                <w:szCs w:val="8"/>
                <w:color w:val="auto"/>
              </w:rPr>
            </w:pPr>
          </w:p>
        </w:tc>
        <w:tc>
          <w:tcPr>
            <w:tcW w:w="38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14%</w:t>
            </w:r>
          </w:p>
        </w:tc>
        <w:tc>
          <w:tcPr>
            <w:tcW w:w="160" w:type="dxa"/>
            <w:vAlign w:val="bottom"/>
            <w:gridSpan w:val="2"/>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(673)</w:t>
            </w:r>
          </w:p>
        </w:tc>
        <w:tc>
          <w:tcPr>
            <w:tcW w:w="46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6"/>
              </w:rPr>
              <w:t>14%</w:t>
            </w:r>
          </w:p>
        </w:tc>
        <w:tc>
          <w:tcPr>
            <w:tcW w:w="360" w:type="dxa"/>
            <w:vAlign w:val="bottom"/>
          </w:tcPr>
          <w:p>
            <w:pPr>
              <w:spacing w:after="0"/>
              <w:rPr>
                <w:sz w:val="8"/>
                <w:szCs w:val="8"/>
                <w:color w:val="auto"/>
              </w:rPr>
            </w:pP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(1,991)</w:t>
            </w:r>
          </w:p>
        </w:tc>
        <w:tc>
          <w:tcPr>
            <w:tcW w:w="46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6"/>
              </w:rPr>
              <w:t>14%</w:t>
            </w:r>
          </w:p>
        </w:tc>
        <w:tc>
          <w:tcPr>
            <w:tcW w:w="80" w:type="dxa"/>
            <w:vAlign w:val="bottom"/>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(2,089)</w:t>
            </w:r>
          </w:p>
        </w:tc>
        <w:tc>
          <w:tcPr>
            <w:tcW w:w="60" w:type="dxa"/>
            <w:vAlign w:val="bottom"/>
          </w:tcPr>
          <w:p>
            <w:pPr>
              <w:spacing w:after="0"/>
              <w:rPr>
                <w:sz w:val="8"/>
                <w:szCs w:val="8"/>
                <w:color w:val="auto"/>
              </w:rPr>
            </w:pPr>
          </w:p>
        </w:tc>
        <w:tc>
          <w:tcPr>
            <w:tcW w:w="440" w:type="dxa"/>
            <w:vAlign w:val="bottom"/>
          </w:tcPr>
          <w:p>
            <w:pPr>
              <w:jc w:val="center"/>
              <w:ind w:right="37"/>
              <w:spacing w:after="0" w:line="94" w:lineRule="exact"/>
              <w:rPr>
                <w:sz w:val="20"/>
                <w:szCs w:val="20"/>
                <w:color w:val="auto"/>
              </w:rPr>
            </w:pPr>
            <w:r>
              <w:rPr>
                <w:rFonts w:ascii="Times New Roman" w:cs="Times New Roman" w:eastAsia="Times New Roman" w:hAnsi="Times New Roman"/>
                <w:sz w:val="9"/>
                <w:szCs w:val="9"/>
                <w:i w:val="1"/>
                <w:iCs w:val="1"/>
                <w:color w:val="auto"/>
                <w:w w:val="96"/>
              </w:rPr>
              <w:t>14%</w:t>
            </w:r>
          </w:p>
        </w:tc>
        <w:tc>
          <w:tcPr>
            <w:tcW w:w="60" w:type="dxa"/>
            <w:vAlign w:val="bottom"/>
          </w:tcPr>
          <w:p>
            <w:pPr>
              <w:spacing w:after="0"/>
              <w:rPr>
                <w:sz w:val="8"/>
                <w:szCs w:val="8"/>
                <w:color w:val="auto"/>
              </w:rPr>
            </w:pPr>
          </w:p>
        </w:tc>
        <w:tc>
          <w:tcPr>
            <w:tcW w:w="7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2%</w:t>
            </w:r>
          </w:p>
        </w:tc>
        <w:tc>
          <w:tcPr>
            <w:tcW w:w="62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5%</w:t>
            </w:r>
          </w:p>
        </w:tc>
        <w:tc>
          <w:tcPr>
            <w:tcW w:w="0" w:type="dxa"/>
            <w:vAlign w:val="bottom"/>
          </w:tcPr>
          <w:p>
            <w:pPr>
              <w:spacing w:after="0"/>
              <w:rPr>
                <w:sz w:val="1"/>
                <w:szCs w:val="1"/>
                <w:color w:val="auto"/>
              </w:rPr>
            </w:pPr>
          </w:p>
        </w:tc>
      </w:tr>
      <w:tr>
        <w:trPr>
          <w:trHeight w:val="93"/>
        </w:trPr>
        <w:tc>
          <w:tcPr>
            <w:tcW w:w="1700" w:type="dxa"/>
            <w:vAlign w:val="bottom"/>
            <w:shd w:val="clear" w:color="auto" w:fill="CCEEFF"/>
          </w:tcPr>
          <w:p>
            <w:pPr>
              <w:spacing w:after="0"/>
              <w:rPr>
                <w:sz w:val="8"/>
                <w:szCs w:val="8"/>
                <w:color w:val="auto"/>
              </w:rPr>
            </w:pPr>
          </w:p>
        </w:tc>
        <w:tc>
          <w:tcPr>
            <w:tcW w:w="2700" w:type="dxa"/>
            <w:vAlign w:val="bottom"/>
            <w:shd w:val="clear" w:color="auto" w:fill="CCEEFF"/>
          </w:tcPr>
          <w:p>
            <w:pPr>
              <w:ind w:left="20"/>
              <w:spacing w:after="0" w:line="94" w:lineRule="exact"/>
              <w:rPr>
                <w:sz w:val="20"/>
                <w:szCs w:val="20"/>
                <w:color w:val="auto"/>
              </w:rPr>
            </w:pPr>
            <w:r>
              <w:rPr>
                <w:rFonts w:ascii="Times New Roman" w:cs="Times New Roman" w:eastAsia="Times New Roman" w:hAnsi="Times New Roman"/>
                <w:sz w:val="9"/>
                <w:szCs w:val="9"/>
                <w:color w:val="auto"/>
              </w:rPr>
              <w:t>General and administrative expense</w:t>
            </w: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(168)</w:t>
            </w: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4%</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(193)</w:t>
            </w:r>
          </w:p>
        </w:tc>
        <w:tc>
          <w:tcPr>
            <w:tcW w:w="460" w:type="dxa"/>
            <w:vAlign w:val="bottom"/>
            <w:shd w:val="clear" w:color="auto" w:fill="CCEEFF"/>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4%</w:t>
            </w: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(483)</w:t>
            </w:r>
          </w:p>
        </w:tc>
        <w:tc>
          <w:tcPr>
            <w:tcW w:w="460" w:type="dxa"/>
            <w:vAlign w:val="bottom"/>
            <w:shd w:val="clear" w:color="auto" w:fill="CCEEFF"/>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3%</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(673)</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center"/>
              <w:ind w:right="37"/>
              <w:spacing w:after="0" w:line="94" w:lineRule="exact"/>
              <w:rPr>
                <w:sz w:val="20"/>
                <w:szCs w:val="20"/>
                <w:color w:val="auto"/>
              </w:rPr>
            </w:pPr>
            <w:r>
              <w:rPr>
                <w:rFonts w:ascii="Times New Roman" w:cs="Times New Roman" w:eastAsia="Times New Roman" w:hAnsi="Times New Roman"/>
                <w:sz w:val="9"/>
                <w:szCs w:val="9"/>
                <w:i w:val="1"/>
                <w:iCs w:val="1"/>
                <w:color w:val="auto"/>
                <w:w w:val="99"/>
              </w:rPr>
              <w:t>5%</w:t>
            </w: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13%</w:t>
            </w:r>
          </w:p>
        </w:tc>
        <w:tc>
          <w:tcPr>
            <w:tcW w:w="62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28%</w:t>
            </w:r>
          </w:p>
        </w:tc>
        <w:tc>
          <w:tcPr>
            <w:tcW w:w="0" w:type="dxa"/>
            <w:vAlign w:val="bottom"/>
          </w:tcPr>
          <w:p>
            <w:pPr>
              <w:spacing w:after="0"/>
              <w:rPr>
                <w:sz w:val="1"/>
                <w:szCs w:val="1"/>
                <w:color w:val="auto"/>
              </w:rPr>
            </w:pPr>
          </w:p>
        </w:tc>
      </w:tr>
      <w:tr>
        <w:trPr>
          <w:trHeight w:val="82"/>
        </w:trPr>
        <w:tc>
          <w:tcPr>
            <w:tcW w:w="1700" w:type="dxa"/>
            <w:vAlign w:val="bottom"/>
          </w:tcPr>
          <w:p>
            <w:pPr>
              <w:spacing w:after="0"/>
              <w:rPr>
                <w:sz w:val="7"/>
                <w:szCs w:val="7"/>
                <w:color w:val="auto"/>
              </w:rPr>
            </w:pPr>
          </w:p>
        </w:tc>
        <w:tc>
          <w:tcPr>
            <w:tcW w:w="27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(826)</w:t>
            </w:r>
          </w:p>
        </w:tc>
        <w:tc>
          <w:tcPr>
            <w:tcW w:w="60" w:type="dxa"/>
            <w:vAlign w:val="bottom"/>
          </w:tcPr>
          <w:p>
            <w:pPr>
              <w:spacing w:after="0"/>
              <w:rPr>
                <w:sz w:val="7"/>
                <w:szCs w:val="7"/>
                <w:color w:val="auto"/>
              </w:rPr>
            </w:pPr>
          </w:p>
        </w:tc>
        <w:tc>
          <w:tcPr>
            <w:tcW w:w="38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18%</w:t>
            </w:r>
          </w:p>
        </w:tc>
        <w:tc>
          <w:tcPr>
            <w:tcW w:w="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(866)</w:t>
            </w:r>
          </w:p>
        </w:tc>
        <w:tc>
          <w:tcPr>
            <w:tcW w:w="60" w:type="dxa"/>
            <w:vAlign w:val="bottom"/>
          </w:tcPr>
          <w:p>
            <w:pPr>
              <w:spacing w:after="0"/>
              <w:rPr>
                <w:sz w:val="7"/>
                <w:szCs w:val="7"/>
                <w:color w:val="auto"/>
              </w:rPr>
            </w:pPr>
          </w:p>
        </w:tc>
        <w:tc>
          <w:tcPr>
            <w:tcW w:w="460" w:type="dxa"/>
            <w:vAlign w:val="bottom"/>
          </w:tcPr>
          <w:p>
            <w:pPr>
              <w:jc w:val="center"/>
              <w:ind w:right="17"/>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18%</w:t>
            </w:r>
          </w:p>
        </w:tc>
        <w:tc>
          <w:tcPr>
            <w:tcW w:w="3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(2,474)</w:t>
            </w:r>
          </w:p>
        </w:tc>
        <w:tc>
          <w:tcPr>
            <w:tcW w:w="60" w:type="dxa"/>
            <w:vAlign w:val="bottom"/>
          </w:tcPr>
          <w:p>
            <w:pPr>
              <w:spacing w:after="0"/>
              <w:rPr>
                <w:sz w:val="7"/>
                <w:szCs w:val="7"/>
                <w:color w:val="auto"/>
              </w:rPr>
            </w:pPr>
          </w:p>
        </w:tc>
        <w:tc>
          <w:tcPr>
            <w:tcW w:w="460" w:type="dxa"/>
            <w:vAlign w:val="bottom"/>
          </w:tcPr>
          <w:p>
            <w:pPr>
              <w:jc w:val="center"/>
              <w:ind w:right="17"/>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18%</w:t>
            </w:r>
          </w:p>
        </w:tc>
        <w:tc>
          <w:tcPr>
            <w:tcW w:w="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(2,762)</w:t>
            </w:r>
          </w:p>
        </w:tc>
        <w:tc>
          <w:tcPr>
            <w:tcW w:w="60" w:type="dxa"/>
            <w:vAlign w:val="bottom"/>
          </w:tcPr>
          <w:p>
            <w:pPr>
              <w:spacing w:after="0"/>
              <w:rPr>
                <w:sz w:val="7"/>
                <w:szCs w:val="7"/>
                <w:color w:val="auto"/>
              </w:rPr>
            </w:pPr>
          </w:p>
        </w:tc>
        <w:tc>
          <w:tcPr>
            <w:tcW w:w="440" w:type="dxa"/>
            <w:vAlign w:val="bottom"/>
          </w:tcPr>
          <w:p>
            <w:pPr>
              <w:jc w:val="center"/>
              <w:ind w:right="37"/>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19%</w:t>
            </w:r>
          </w:p>
        </w:tc>
        <w:tc>
          <w:tcPr>
            <w:tcW w:w="60" w:type="dxa"/>
            <w:vAlign w:val="bottom"/>
          </w:tcPr>
          <w:p>
            <w:pPr>
              <w:spacing w:after="0"/>
              <w:rPr>
                <w:sz w:val="7"/>
                <w:szCs w:val="7"/>
                <w:color w:val="auto"/>
              </w:rPr>
            </w:pPr>
          </w:p>
        </w:tc>
        <w:tc>
          <w:tcPr>
            <w:tcW w:w="740" w:type="dxa"/>
            <w:vAlign w:val="bottom"/>
          </w:tcPr>
          <w:p>
            <w:pPr>
              <w:jc w:val="right"/>
              <w:ind w:right="37"/>
              <w:spacing w:after="0" w:line="83" w:lineRule="exact"/>
              <w:rPr>
                <w:sz w:val="20"/>
                <w:szCs w:val="20"/>
                <w:color w:val="auto"/>
              </w:rPr>
            </w:pPr>
            <w:r>
              <w:rPr>
                <w:rFonts w:ascii="Times New Roman" w:cs="Times New Roman" w:eastAsia="Times New Roman" w:hAnsi="Times New Roman"/>
                <w:sz w:val="9"/>
                <w:szCs w:val="9"/>
                <w:b w:val="1"/>
                <w:bCs w:val="1"/>
                <w:color w:val="auto"/>
              </w:rPr>
              <w:t>5%</w:t>
            </w:r>
          </w:p>
        </w:tc>
        <w:tc>
          <w:tcPr>
            <w:tcW w:w="620" w:type="dxa"/>
            <w:vAlign w:val="bottom"/>
          </w:tcPr>
          <w:p>
            <w:pPr>
              <w:jc w:val="right"/>
              <w:ind w:right="37"/>
              <w:spacing w:after="0" w:line="83" w:lineRule="exact"/>
              <w:rPr>
                <w:sz w:val="20"/>
                <w:szCs w:val="20"/>
                <w:color w:val="auto"/>
              </w:rPr>
            </w:pPr>
            <w:r>
              <w:rPr>
                <w:rFonts w:ascii="Times New Roman" w:cs="Times New Roman" w:eastAsia="Times New Roman" w:hAnsi="Times New Roman"/>
                <w:sz w:val="9"/>
                <w:szCs w:val="9"/>
                <w:color w:val="auto"/>
              </w:rPr>
              <w:t>10</w:t>
            </w: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93"/>
        </w:trPr>
        <w:tc>
          <w:tcPr>
            <w:tcW w:w="1700" w:type="dxa"/>
            <w:vAlign w:val="bottom"/>
            <w:shd w:val="clear" w:color="auto" w:fill="CCEEFF"/>
          </w:tcPr>
          <w:p>
            <w:pPr>
              <w:spacing w:after="0"/>
              <w:rPr>
                <w:sz w:val="8"/>
                <w:szCs w:val="8"/>
                <w:color w:val="auto"/>
              </w:rPr>
            </w:pPr>
          </w:p>
        </w:tc>
        <w:tc>
          <w:tcPr>
            <w:tcW w:w="2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700" w:type="dxa"/>
            <w:vAlign w:val="bottom"/>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Australia</w:t>
            </w:r>
          </w:p>
        </w:tc>
        <w:tc>
          <w:tcPr>
            <w:tcW w:w="2700" w:type="dxa"/>
            <w:vAlign w:val="bottom"/>
          </w:tcPr>
          <w:p>
            <w:pPr>
              <w:ind w:left="20"/>
              <w:spacing w:after="0" w:line="94" w:lineRule="exact"/>
              <w:rPr>
                <w:sz w:val="20"/>
                <w:szCs w:val="20"/>
                <w:color w:val="auto"/>
              </w:rPr>
            </w:pPr>
            <w:r>
              <w:rPr>
                <w:rFonts w:ascii="Times New Roman" w:cs="Times New Roman" w:eastAsia="Times New Roman" w:hAnsi="Times New Roman"/>
                <w:sz w:val="9"/>
                <w:szCs w:val="9"/>
                <w:color w:val="auto"/>
              </w:rPr>
              <w:t>Depreciation and amortization</w:t>
            </w:r>
          </w:p>
        </w:tc>
        <w:tc>
          <w:tcPr>
            <w:tcW w:w="120" w:type="dxa"/>
            <w:vAlign w:val="bottom"/>
          </w:tcPr>
          <w:p>
            <w:pPr>
              <w:jc w:val="right"/>
              <w:ind w:right="17"/>
              <w:spacing w:after="0" w:line="94" w:lineRule="exact"/>
              <w:rPr>
                <w:sz w:val="20"/>
                <w:szCs w:val="20"/>
                <w:color w:val="auto"/>
              </w:rPr>
            </w:pPr>
            <w:r>
              <w:rPr>
                <w:rFonts w:ascii="Times New Roman" w:cs="Times New Roman" w:eastAsia="Times New Roman" w:hAnsi="Times New Roman"/>
                <w:sz w:val="9"/>
                <w:szCs w:val="9"/>
                <w:color w:val="auto"/>
                <w:w w:val="87"/>
              </w:rPr>
              <w:t>$</w:t>
            </w: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(397)</w:t>
            </w:r>
          </w:p>
        </w:tc>
        <w:tc>
          <w:tcPr>
            <w:tcW w:w="60" w:type="dxa"/>
            <w:vAlign w:val="bottom"/>
          </w:tcPr>
          <w:p>
            <w:pPr>
              <w:spacing w:after="0"/>
              <w:rPr>
                <w:sz w:val="8"/>
                <w:szCs w:val="8"/>
                <w:color w:val="auto"/>
              </w:rPr>
            </w:pPr>
          </w:p>
        </w:tc>
        <w:tc>
          <w:tcPr>
            <w:tcW w:w="38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9%</w:t>
            </w:r>
          </w:p>
        </w:tc>
        <w:tc>
          <w:tcPr>
            <w:tcW w:w="160" w:type="dxa"/>
            <w:vAlign w:val="bottom"/>
            <w:gridSpan w:val="2"/>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(490)</w:t>
            </w:r>
          </w:p>
        </w:tc>
        <w:tc>
          <w:tcPr>
            <w:tcW w:w="46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6"/>
              </w:rPr>
              <w:t>10%</w:t>
            </w:r>
          </w:p>
        </w:tc>
        <w:tc>
          <w:tcPr>
            <w:tcW w:w="360" w:type="dxa"/>
            <w:vAlign w:val="bottom"/>
          </w:tcPr>
          <w:p>
            <w:pPr>
              <w:spacing w:after="0"/>
              <w:rPr>
                <w:sz w:val="8"/>
                <w:szCs w:val="8"/>
                <w:color w:val="auto"/>
              </w:rPr>
            </w:pP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(1,173)</w:t>
            </w:r>
          </w:p>
        </w:tc>
        <w:tc>
          <w:tcPr>
            <w:tcW w:w="46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8%</w:t>
            </w:r>
          </w:p>
        </w:tc>
        <w:tc>
          <w:tcPr>
            <w:tcW w:w="80" w:type="dxa"/>
            <w:vAlign w:val="bottom"/>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(1,632)</w:t>
            </w:r>
          </w:p>
        </w:tc>
        <w:tc>
          <w:tcPr>
            <w:tcW w:w="60" w:type="dxa"/>
            <w:vAlign w:val="bottom"/>
          </w:tcPr>
          <w:p>
            <w:pPr>
              <w:spacing w:after="0"/>
              <w:rPr>
                <w:sz w:val="8"/>
                <w:szCs w:val="8"/>
                <w:color w:val="auto"/>
              </w:rPr>
            </w:pPr>
          </w:p>
        </w:tc>
        <w:tc>
          <w:tcPr>
            <w:tcW w:w="440" w:type="dxa"/>
            <w:vAlign w:val="bottom"/>
          </w:tcPr>
          <w:p>
            <w:pPr>
              <w:jc w:val="center"/>
              <w:ind w:right="37"/>
              <w:spacing w:after="0" w:line="94" w:lineRule="exact"/>
              <w:rPr>
                <w:sz w:val="20"/>
                <w:szCs w:val="20"/>
                <w:color w:val="auto"/>
              </w:rPr>
            </w:pPr>
            <w:r>
              <w:rPr>
                <w:rFonts w:ascii="Times New Roman" w:cs="Times New Roman" w:eastAsia="Times New Roman" w:hAnsi="Times New Roman"/>
                <w:sz w:val="9"/>
                <w:szCs w:val="9"/>
                <w:i w:val="1"/>
                <w:iCs w:val="1"/>
                <w:color w:val="auto"/>
                <w:w w:val="96"/>
              </w:rPr>
              <w:t>11%</w:t>
            </w:r>
          </w:p>
        </w:tc>
        <w:tc>
          <w:tcPr>
            <w:tcW w:w="60" w:type="dxa"/>
            <w:vAlign w:val="bottom"/>
          </w:tcPr>
          <w:p>
            <w:pPr>
              <w:spacing w:after="0"/>
              <w:rPr>
                <w:sz w:val="8"/>
                <w:szCs w:val="8"/>
                <w:color w:val="auto"/>
              </w:rPr>
            </w:pPr>
          </w:p>
        </w:tc>
        <w:tc>
          <w:tcPr>
            <w:tcW w:w="7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19%</w:t>
            </w:r>
          </w:p>
        </w:tc>
        <w:tc>
          <w:tcPr>
            <w:tcW w:w="62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28%</w:t>
            </w:r>
          </w:p>
        </w:tc>
        <w:tc>
          <w:tcPr>
            <w:tcW w:w="0" w:type="dxa"/>
            <w:vAlign w:val="bottom"/>
          </w:tcPr>
          <w:p>
            <w:pPr>
              <w:spacing w:after="0"/>
              <w:rPr>
                <w:sz w:val="1"/>
                <w:szCs w:val="1"/>
                <w:color w:val="auto"/>
              </w:rPr>
            </w:pPr>
          </w:p>
        </w:tc>
      </w:tr>
      <w:tr>
        <w:trPr>
          <w:trHeight w:val="93"/>
        </w:trPr>
        <w:tc>
          <w:tcPr>
            <w:tcW w:w="1700" w:type="dxa"/>
            <w:vAlign w:val="bottom"/>
            <w:shd w:val="clear" w:color="auto" w:fill="CCEEFF"/>
          </w:tcPr>
          <w:p>
            <w:pPr>
              <w:spacing w:after="0"/>
              <w:rPr>
                <w:sz w:val="8"/>
                <w:szCs w:val="8"/>
                <w:color w:val="auto"/>
              </w:rPr>
            </w:pPr>
          </w:p>
        </w:tc>
        <w:tc>
          <w:tcPr>
            <w:tcW w:w="2700" w:type="dxa"/>
            <w:vAlign w:val="bottom"/>
            <w:shd w:val="clear" w:color="auto" w:fill="CCEEFF"/>
          </w:tcPr>
          <w:p>
            <w:pPr>
              <w:ind w:left="20"/>
              <w:spacing w:after="0" w:line="94" w:lineRule="exact"/>
              <w:rPr>
                <w:sz w:val="20"/>
                <w:szCs w:val="20"/>
                <w:color w:val="auto"/>
              </w:rPr>
            </w:pPr>
            <w:r>
              <w:rPr>
                <w:rFonts w:ascii="Times New Roman" w:cs="Times New Roman" w:eastAsia="Times New Roman" w:hAnsi="Times New Roman"/>
                <w:sz w:val="9"/>
                <w:szCs w:val="9"/>
                <w:color w:val="auto"/>
              </w:rPr>
              <w:t>General and administrative expense</w:t>
            </w: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(34)</w:t>
            </w:r>
          </w:p>
        </w:tc>
        <w:tc>
          <w:tcPr>
            <w:tcW w:w="38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7</w:t>
            </w:r>
          </w:p>
        </w:tc>
        <w:tc>
          <w:tcPr>
            <w:tcW w:w="460" w:type="dxa"/>
            <w:vAlign w:val="bottom"/>
            <w:shd w:val="clear" w:color="auto" w:fill="CCEEFF"/>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88"/>
              </w:rPr>
              <w:t>(0)%</w:t>
            </w: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(121)</w:t>
            </w:r>
          </w:p>
        </w:tc>
        <w:tc>
          <w:tcPr>
            <w:tcW w:w="460" w:type="dxa"/>
            <w:vAlign w:val="bottom"/>
            <w:shd w:val="clear" w:color="auto" w:fill="CCEEFF"/>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8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(52)</w:t>
            </w:r>
          </w:p>
        </w:tc>
        <w:tc>
          <w:tcPr>
            <w:tcW w:w="440" w:type="dxa"/>
            <w:vAlign w:val="bottom"/>
            <w:shd w:val="clear" w:color="auto" w:fill="CCEEFF"/>
          </w:tcPr>
          <w:p>
            <w:pPr>
              <w:jc w:val="center"/>
              <w:ind w:right="37"/>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(&gt;100)%</w:t>
            </w:r>
          </w:p>
        </w:tc>
        <w:tc>
          <w:tcPr>
            <w:tcW w:w="62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(&gt;100)%</w:t>
            </w:r>
          </w:p>
        </w:tc>
        <w:tc>
          <w:tcPr>
            <w:tcW w:w="0" w:type="dxa"/>
            <w:vAlign w:val="bottom"/>
          </w:tcPr>
          <w:p>
            <w:pPr>
              <w:spacing w:after="0"/>
              <w:rPr>
                <w:sz w:val="1"/>
                <w:szCs w:val="1"/>
                <w:color w:val="auto"/>
              </w:rPr>
            </w:pPr>
          </w:p>
        </w:tc>
      </w:tr>
      <w:tr>
        <w:trPr>
          <w:trHeight w:val="82"/>
        </w:trPr>
        <w:tc>
          <w:tcPr>
            <w:tcW w:w="1700" w:type="dxa"/>
            <w:vAlign w:val="bottom"/>
          </w:tcPr>
          <w:p>
            <w:pPr>
              <w:spacing w:after="0"/>
              <w:rPr>
                <w:sz w:val="7"/>
                <w:szCs w:val="7"/>
                <w:color w:val="auto"/>
              </w:rPr>
            </w:pPr>
          </w:p>
        </w:tc>
        <w:tc>
          <w:tcPr>
            <w:tcW w:w="27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(431)</w:t>
            </w:r>
          </w:p>
        </w:tc>
        <w:tc>
          <w:tcPr>
            <w:tcW w:w="60" w:type="dxa"/>
            <w:vAlign w:val="bottom"/>
          </w:tcPr>
          <w:p>
            <w:pPr>
              <w:spacing w:after="0"/>
              <w:rPr>
                <w:sz w:val="7"/>
                <w:szCs w:val="7"/>
                <w:color w:val="auto"/>
              </w:rPr>
            </w:pPr>
          </w:p>
        </w:tc>
        <w:tc>
          <w:tcPr>
            <w:tcW w:w="38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9%</w:t>
            </w:r>
          </w:p>
        </w:tc>
        <w:tc>
          <w:tcPr>
            <w:tcW w:w="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(483)</w:t>
            </w:r>
          </w:p>
        </w:tc>
        <w:tc>
          <w:tcPr>
            <w:tcW w:w="60" w:type="dxa"/>
            <w:vAlign w:val="bottom"/>
          </w:tcPr>
          <w:p>
            <w:pPr>
              <w:spacing w:after="0"/>
              <w:rPr>
                <w:sz w:val="7"/>
                <w:szCs w:val="7"/>
                <w:color w:val="auto"/>
              </w:rPr>
            </w:pPr>
          </w:p>
        </w:tc>
        <w:tc>
          <w:tcPr>
            <w:tcW w:w="460" w:type="dxa"/>
            <w:vAlign w:val="bottom"/>
          </w:tcPr>
          <w:p>
            <w:pPr>
              <w:jc w:val="center"/>
              <w:ind w:right="17"/>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10%</w:t>
            </w:r>
          </w:p>
        </w:tc>
        <w:tc>
          <w:tcPr>
            <w:tcW w:w="3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(1,294)</w:t>
            </w:r>
          </w:p>
        </w:tc>
        <w:tc>
          <w:tcPr>
            <w:tcW w:w="60" w:type="dxa"/>
            <w:vAlign w:val="bottom"/>
          </w:tcPr>
          <w:p>
            <w:pPr>
              <w:spacing w:after="0"/>
              <w:rPr>
                <w:sz w:val="7"/>
                <w:szCs w:val="7"/>
                <w:color w:val="auto"/>
              </w:rPr>
            </w:pPr>
          </w:p>
        </w:tc>
        <w:tc>
          <w:tcPr>
            <w:tcW w:w="460" w:type="dxa"/>
            <w:vAlign w:val="bottom"/>
          </w:tcPr>
          <w:p>
            <w:pPr>
              <w:jc w:val="center"/>
              <w:ind w:right="17"/>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9%</w:t>
            </w:r>
          </w:p>
        </w:tc>
        <w:tc>
          <w:tcPr>
            <w:tcW w:w="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(1,684)</w:t>
            </w:r>
          </w:p>
        </w:tc>
        <w:tc>
          <w:tcPr>
            <w:tcW w:w="60" w:type="dxa"/>
            <w:vAlign w:val="bottom"/>
          </w:tcPr>
          <w:p>
            <w:pPr>
              <w:spacing w:after="0"/>
              <w:rPr>
                <w:sz w:val="7"/>
                <w:szCs w:val="7"/>
                <w:color w:val="auto"/>
              </w:rPr>
            </w:pPr>
          </w:p>
        </w:tc>
        <w:tc>
          <w:tcPr>
            <w:tcW w:w="440" w:type="dxa"/>
            <w:vAlign w:val="bottom"/>
          </w:tcPr>
          <w:p>
            <w:pPr>
              <w:jc w:val="center"/>
              <w:ind w:right="37"/>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11%</w:t>
            </w:r>
          </w:p>
        </w:tc>
        <w:tc>
          <w:tcPr>
            <w:tcW w:w="60" w:type="dxa"/>
            <w:vAlign w:val="bottom"/>
          </w:tcPr>
          <w:p>
            <w:pPr>
              <w:spacing w:after="0"/>
              <w:rPr>
                <w:sz w:val="7"/>
                <w:szCs w:val="7"/>
                <w:color w:val="auto"/>
              </w:rPr>
            </w:pPr>
          </w:p>
        </w:tc>
        <w:tc>
          <w:tcPr>
            <w:tcW w:w="740" w:type="dxa"/>
            <w:vAlign w:val="bottom"/>
          </w:tcPr>
          <w:p>
            <w:pPr>
              <w:jc w:val="right"/>
              <w:ind w:right="37"/>
              <w:spacing w:after="0" w:line="83" w:lineRule="exact"/>
              <w:rPr>
                <w:sz w:val="20"/>
                <w:szCs w:val="20"/>
                <w:color w:val="auto"/>
              </w:rPr>
            </w:pPr>
            <w:r>
              <w:rPr>
                <w:rFonts w:ascii="Times New Roman" w:cs="Times New Roman" w:eastAsia="Times New Roman" w:hAnsi="Times New Roman"/>
                <w:sz w:val="9"/>
                <w:szCs w:val="9"/>
                <w:b w:val="1"/>
                <w:bCs w:val="1"/>
                <w:color w:val="auto"/>
              </w:rPr>
              <w:t>11%</w:t>
            </w:r>
          </w:p>
        </w:tc>
        <w:tc>
          <w:tcPr>
            <w:tcW w:w="620" w:type="dxa"/>
            <w:vAlign w:val="bottom"/>
          </w:tcPr>
          <w:p>
            <w:pPr>
              <w:jc w:val="right"/>
              <w:ind w:right="37"/>
              <w:spacing w:after="0" w:line="83" w:lineRule="exact"/>
              <w:rPr>
                <w:sz w:val="20"/>
                <w:szCs w:val="20"/>
                <w:color w:val="auto"/>
              </w:rPr>
            </w:pPr>
            <w:r>
              <w:rPr>
                <w:rFonts w:ascii="Times New Roman" w:cs="Times New Roman" w:eastAsia="Times New Roman" w:hAnsi="Times New Roman"/>
                <w:sz w:val="9"/>
                <w:szCs w:val="9"/>
                <w:b w:val="1"/>
                <w:bCs w:val="1"/>
                <w:color w:val="auto"/>
              </w:rPr>
              <w:t>23%</w:t>
            </w:r>
          </w:p>
        </w:tc>
        <w:tc>
          <w:tcPr>
            <w:tcW w:w="0" w:type="dxa"/>
            <w:vAlign w:val="bottom"/>
          </w:tcPr>
          <w:p>
            <w:pPr>
              <w:spacing w:after="0"/>
              <w:rPr>
                <w:sz w:val="1"/>
                <w:szCs w:val="1"/>
                <w:color w:val="auto"/>
              </w:rPr>
            </w:pPr>
          </w:p>
        </w:tc>
      </w:tr>
      <w:tr>
        <w:trPr>
          <w:trHeight w:val="93"/>
        </w:trPr>
        <w:tc>
          <w:tcPr>
            <w:tcW w:w="1700" w:type="dxa"/>
            <w:vAlign w:val="bottom"/>
            <w:shd w:val="clear" w:color="auto" w:fill="CCEEFF"/>
          </w:tcPr>
          <w:p>
            <w:pPr>
              <w:spacing w:after="0"/>
              <w:rPr>
                <w:sz w:val="8"/>
                <w:szCs w:val="8"/>
                <w:color w:val="auto"/>
              </w:rPr>
            </w:pPr>
          </w:p>
        </w:tc>
        <w:tc>
          <w:tcPr>
            <w:tcW w:w="2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700" w:type="dxa"/>
            <w:vAlign w:val="bottom"/>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New Zealand</w:t>
            </w:r>
          </w:p>
        </w:tc>
        <w:tc>
          <w:tcPr>
            <w:tcW w:w="2700" w:type="dxa"/>
            <w:vAlign w:val="bottom"/>
          </w:tcPr>
          <w:p>
            <w:pPr>
              <w:ind w:left="20"/>
              <w:spacing w:after="0" w:line="94" w:lineRule="exact"/>
              <w:rPr>
                <w:sz w:val="20"/>
                <w:szCs w:val="20"/>
                <w:color w:val="auto"/>
              </w:rPr>
            </w:pPr>
            <w:r>
              <w:rPr>
                <w:rFonts w:ascii="Times New Roman" w:cs="Times New Roman" w:eastAsia="Times New Roman" w:hAnsi="Times New Roman"/>
                <w:sz w:val="9"/>
                <w:szCs w:val="9"/>
                <w:color w:val="auto"/>
              </w:rPr>
              <w:t>Depreciation and amortization</w:t>
            </w:r>
          </w:p>
        </w:tc>
        <w:tc>
          <w:tcPr>
            <w:tcW w:w="120" w:type="dxa"/>
            <w:vAlign w:val="bottom"/>
          </w:tcPr>
          <w:p>
            <w:pPr>
              <w:spacing w:after="0"/>
              <w:rPr>
                <w:sz w:val="8"/>
                <w:szCs w:val="8"/>
                <w:color w:val="auto"/>
              </w:rPr>
            </w:pPr>
          </w:p>
        </w:tc>
        <w:tc>
          <w:tcPr>
            <w:tcW w:w="74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(60)</w:t>
            </w:r>
          </w:p>
        </w:tc>
        <w:tc>
          <w:tcPr>
            <w:tcW w:w="38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(47)</w:t>
            </w:r>
          </w:p>
        </w:tc>
        <w:tc>
          <w:tcPr>
            <w:tcW w:w="46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(177)</w:t>
            </w:r>
          </w:p>
        </w:tc>
        <w:tc>
          <w:tcPr>
            <w:tcW w:w="46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1%</w:t>
            </w:r>
          </w:p>
        </w:tc>
        <w:tc>
          <w:tcPr>
            <w:tcW w:w="80" w:type="dxa"/>
            <w:vAlign w:val="bottom"/>
          </w:tcPr>
          <w:p>
            <w:pPr>
              <w:spacing w:after="0"/>
              <w:rPr>
                <w:sz w:val="8"/>
                <w:szCs w:val="8"/>
                <w:color w:val="auto"/>
              </w:rPr>
            </w:pP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(363)</w:t>
            </w:r>
          </w:p>
        </w:tc>
        <w:tc>
          <w:tcPr>
            <w:tcW w:w="60" w:type="dxa"/>
            <w:vAlign w:val="bottom"/>
          </w:tcPr>
          <w:p>
            <w:pPr>
              <w:spacing w:after="0"/>
              <w:rPr>
                <w:sz w:val="8"/>
                <w:szCs w:val="8"/>
                <w:color w:val="auto"/>
              </w:rPr>
            </w:pPr>
          </w:p>
        </w:tc>
        <w:tc>
          <w:tcPr>
            <w:tcW w:w="440" w:type="dxa"/>
            <w:vAlign w:val="bottom"/>
          </w:tcPr>
          <w:p>
            <w:pPr>
              <w:jc w:val="center"/>
              <w:ind w:right="37"/>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60" w:type="dxa"/>
            <w:vAlign w:val="bottom"/>
          </w:tcPr>
          <w:p>
            <w:pPr>
              <w:spacing w:after="0"/>
              <w:rPr>
                <w:sz w:val="8"/>
                <w:szCs w:val="8"/>
                <w:color w:val="auto"/>
              </w:rPr>
            </w:pPr>
          </w:p>
        </w:tc>
        <w:tc>
          <w:tcPr>
            <w:tcW w:w="7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(28)%</w:t>
            </w:r>
          </w:p>
        </w:tc>
        <w:tc>
          <w:tcPr>
            <w:tcW w:w="62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51%</w:t>
            </w:r>
          </w:p>
        </w:tc>
        <w:tc>
          <w:tcPr>
            <w:tcW w:w="0" w:type="dxa"/>
            <w:vAlign w:val="bottom"/>
          </w:tcPr>
          <w:p>
            <w:pPr>
              <w:spacing w:after="0"/>
              <w:rPr>
                <w:sz w:val="1"/>
                <w:szCs w:val="1"/>
                <w:color w:val="auto"/>
              </w:rPr>
            </w:pPr>
          </w:p>
        </w:tc>
      </w:tr>
      <w:tr>
        <w:trPr>
          <w:trHeight w:val="93"/>
        </w:trPr>
        <w:tc>
          <w:tcPr>
            <w:tcW w:w="1700" w:type="dxa"/>
            <w:vAlign w:val="bottom"/>
            <w:shd w:val="clear" w:color="auto" w:fill="CCEEFF"/>
          </w:tcPr>
          <w:p>
            <w:pPr>
              <w:spacing w:after="0"/>
              <w:rPr>
                <w:sz w:val="8"/>
                <w:szCs w:val="8"/>
                <w:color w:val="auto"/>
              </w:rPr>
            </w:pPr>
          </w:p>
        </w:tc>
        <w:tc>
          <w:tcPr>
            <w:tcW w:w="2700" w:type="dxa"/>
            <w:vAlign w:val="bottom"/>
            <w:shd w:val="clear" w:color="auto" w:fill="CCEEFF"/>
          </w:tcPr>
          <w:p>
            <w:pPr>
              <w:ind w:left="20"/>
              <w:spacing w:after="0" w:line="94" w:lineRule="exact"/>
              <w:rPr>
                <w:sz w:val="20"/>
                <w:szCs w:val="20"/>
                <w:color w:val="auto"/>
              </w:rPr>
            </w:pPr>
            <w:r>
              <w:rPr>
                <w:rFonts w:ascii="Times New Roman" w:cs="Times New Roman" w:eastAsia="Times New Roman" w:hAnsi="Times New Roman"/>
                <w:sz w:val="9"/>
                <w:szCs w:val="9"/>
                <w:color w:val="auto"/>
              </w:rPr>
              <w:t>General and administrative expense</w:t>
            </w: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CEEFF"/>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(1)</w:t>
            </w:r>
          </w:p>
        </w:tc>
        <w:tc>
          <w:tcPr>
            <w:tcW w:w="460" w:type="dxa"/>
            <w:vAlign w:val="bottom"/>
            <w:shd w:val="clear" w:color="auto" w:fill="CCEEFF"/>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8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CEEFF"/>
          </w:tcPr>
          <w:p>
            <w:pPr>
              <w:jc w:val="center"/>
              <w:ind w:right="37"/>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82"/>
        </w:trPr>
        <w:tc>
          <w:tcPr>
            <w:tcW w:w="1700" w:type="dxa"/>
            <w:vAlign w:val="bottom"/>
          </w:tcPr>
          <w:p>
            <w:pPr>
              <w:spacing w:after="0"/>
              <w:rPr>
                <w:sz w:val="7"/>
                <w:szCs w:val="7"/>
                <w:color w:val="auto"/>
              </w:rPr>
            </w:pPr>
          </w:p>
        </w:tc>
        <w:tc>
          <w:tcPr>
            <w:tcW w:w="27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(60)</w:t>
            </w:r>
          </w:p>
        </w:tc>
        <w:tc>
          <w:tcPr>
            <w:tcW w:w="60" w:type="dxa"/>
            <w:vAlign w:val="bottom"/>
          </w:tcPr>
          <w:p>
            <w:pPr>
              <w:spacing w:after="0"/>
              <w:rPr>
                <w:sz w:val="7"/>
                <w:szCs w:val="7"/>
                <w:color w:val="auto"/>
              </w:rPr>
            </w:pPr>
          </w:p>
        </w:tc>
        <w:tc>
          <w:tcPr>
            <w:tcW w:w="380" w:type="dxa"/>
            <w:vAlign w:val="bottom"/>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1%</w:t>
            </w:r>
          </w:p>
        </w:tc>
        <w:tc>
          <w:tcPr>
            <w:tcW w:w="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(47)</w:t>
            </w:r>
          </w:p>
        </w:tc>
        <w:tc>
          <w:tcPr>
            <w:tcW w:w="60" w:type="dxa"/>
            <w:vAlign w:val="bottom"/>
          </w:tcPr>
          <w:p>
            <w:pPr>
              <w:spacing w:after="0"/>
              <w:rPr>
                <w:sz w:val="7"/>
                <w:szCs w:val="7"/>
                <w:color w:val="auto"/>
              </w:rPr>
            </w:pPr>
          </w:p>
        </w:tc>
        <w:tc>
          <w:tcPr>
            <w:tcW w:w="460" w:type="dxa"/>
            <w:vAlign w:val="bottom"/>
          </w:tcPr>
          <w:p>
            <w:pPr>
              <w:jc w:val="center"/>
              <w:ind w:right="17"/>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1%</w:t>
            </w:r>
          </w:p>
        </w:tc>
        <w:tc>
          <w:tcPr>
            <w:tcW w:w="3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(178)</w:t>
            </w:r>
          </w:p>
        </w:tc>
        <w:tc>
          <w:tcPr>
            <w:tcW w:w="60" w:type="dxa"/>
            <w:vAlign w:val="bottom"/>
          </w:tcPr>
          <w:p>
            <w:pPr>
              <w:spacing w:after="0"/>
              <w:rPr>
                <w:sz w:val="7"/>
                <w:szCs w:val="7"/>
                <w:color w:val="auto"/>
              </w:rPr>
            </w:pPr>
          </w:p>
        </w:tc>
        <w:tc>
          <w:tcPr>
            <w:tcW w:w="460" w:type="dxa"/>
            <w:vAlign w:val="bottom"/>
          </w:tcPr>
          <w:p>
            <w:pPr>
              <w:jc w:val="center"/>
              <w:ind w:right="17"/>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1%</w:t>
            </w:r>
          </w:p>
        </w:tc>
        <w:tc>
          <w:tcPr>
            <w:tcW w:w="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(363)</w:t>
            </w:r>
          </w:p>
        </w:tc>
        <w:tc>
          <w:tcPr>
            <w:tcW w:w="60" w:type="dxa"/>
            <w:vAlign w:val="bottom"/>
          </w:tcPr>
          <w:p>
            <w:pPr>
              <w:spacing w:after="0"/>
              <w:rPr>
                <w:sz w:val="7"/>
                <w:szCs w:val="7"/>
                <w:color w:val="auto"/>
              </w:rPr>
            </w:pPr>
          </w:p>
        </w:tc>
        <w:tc>
          <w:tcPr>
            <w:tcW w:w="440" w:type="dxa"/>
            <w:vAlign w:val="bottom"/>
          </w:tcPr>
          <w:p>
            <w:pPr>
              <w:jc w:val="center"/>
              <w:ind w:right="37"/>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9"/>
              </w:rPr>
              <w:t>2%</w:t>
            </w:r>
          </w:p>
        </w:tc>
        <w:tc>
          <w:tcPr>
            <w:tcW w:w="60" w:type="dxa"/>
            <w:vAlign w:val="bottom"/>
          </w:tcPr>
          <w:p>
            <w:pPr>
              <w:spacing w:after="0"/>
              <w:rPr>
                <w:sz w:val="7"/>
                <w:szCs w:val="7"/>
                <w:color w:val="auto"/>
              </w:rPr>
            </w:pPr>
          </w:p>
        </w:tc>
        <w:tc>
          <w:tcPr>
            <w:tcW w:w="740" w:type="dxa"/>
            <w:vAlign w:val="bottom"/>
          </w:tcPr>
          <w:p>
            <w:pPr>
              <w:jc w:val="right"/>
              <w:ind w:right="37"/>
              <w:spacing w:after="0" w:line="83" w:lineRule="exact"/>
              <w:rPr>
                <w:sz w:val="20"/>
                <w:szCs w:val="20"/>
                <w:color w:val="auto"/>
              </w:rPr>
            </w:pPr>
            <w:r>
              <w:rPr>
                <w:rFonts w:ascii="Times New Roman" w:cs="Times New Roman" w:eastAsia="Times New Roman" w:hAnsi="Times New Roman"/>
                <w:sz w:val="9"/>
                <w:szCs w:val="9"/>
                <w:b w:val="1"/>
                <w:bCs w:val="1"/>
                <w:color w:val="auto"/>
              </w:rPr>
              <w:t>(28)%</w:t>
            </w:r>
          </w:p>
        </w:tc>
        <w:tc>
          <w:tcPr>
            <w:tcW w:w="620" w:type="dxa"/>
            <w:vAlign w:val="bottom"/>
          </w:tcPr>
          <w:p>
            <w:pPr>
              <w:jc w:val="right"/>
              <w:ind w:right="37"/>
              <w:spacing w:after="0" w:line="83" w:lineRule="exact"/>
              <w:rPr>
                <w:sz w:val="20"/>
                <w:szCs w:val="20"/>
                <w:color w:val="auto"/>
              </w:rPr>
            </w:pPr>
            <w:r>
              <w:rPr>
                <w:rFonts w:ascii="Times New Roman" w:cs="Times New Roman" w:eastAsia="Times New Roman" w:hAnsi="Times New Roman"/>
                <w:sz w:val="9"/>
                <w:szCs w:val="9"/>
                <w:b w:val="1"/>
                <w:bCs w:val="1"/>
                <w:color w:val="auto"/>
              </w:rPr>
              <w:t>51%</w:t>
            </w:r>
          </w:p>
        </w:tc>
        <w:tc>
          <w:tcPr>
            <w:tcW w:w="0" w:type="dxa"/>
            <w:vAlign w:val="bottom"/>
          </w:tcPr>
          <w:p>
            <w:pPr>
              <w:spacing w:after="0"/>
              <w:rPr>
                <w:sz w:val="1"/>
                <w:szCs w:val="1"/>
                <w:color w:val="auto"/>
              </w:rPr>
            </w:pPr>
          </w:p>
        </w:tc>
      </w:tr>
      <w:tr>
        <w:trPr>
          <w:trHeight w:val="93"/>
        </w:trPr>
        <w:tc>
          <w:tcPr>
            <w:tcW w:w="4400" w:type="dxa"/>
            <w:vAlign w:val="bottom"/>
            <w:gridSpan w:val="2"/>
            <w:shd w:val="clear" w:color="auto" w:fill="CCEEFF"/>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Total depreciation, amortization, general and administrative expense</w:t>
            </w:r>
          </w:p>
        </w:tc>
        <w:tc>
          <w:tcPr>
            <w:tcW w:w="120" w:type="dxa"/>
            <w:vAlign w:val="bottom"/>
            <w:shd w:val="clear" w:color="auto" w:fill="CCEEFF"/>
          </w:tcPr>
          <w:p>
            <w:pPr>
              <w:jc w:val="right"/>
              <w:ind w:right="17"/>
              <w:spacing w:after="0" w:line="94" w:lineRule="exact"/>
              <w:rPr>
                <w:sz w:val="20"/>
                <w:szCs w:val="20"/>
                <w:color w:val="auto"/>
              </w:rPr>
            </w:pPr>
            <w:r>
              <w:rPr>
                <w:rFonts w:ascii="Times New Roman" w:cs="Times New Roman" w:eastAsia="Times New Roman" w:hAnsi="Times New Roman"/>
                <w:sz w:val="9"/>
                <w:szCs w:val="9"/>
                <w:b w:val="1"/>
                <w:bCs w:val="1"/>
                <w:color w:val="auto"/>
                <w:w w:val="87"/>
              </w:rPr>
              <w:t>$</w:t>
            </w:r>
          </w:p>
        </w:tc>
        <w:tc>
          <w:tcPr>
            <w:tcW w:w="6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b w:val="1"/>
                <w:bCs w:val="1"/>
                <w:color w:val="auto"/>
              </w:rPr>
              <w:t>(1,317)</w:t>
            </w: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6"/>
              </w:rPr>
              <w:t>29%</w:t>
            </w:r>
          </w:p>
        </w:tc>
        <w:tc>
          <w:tcPr>
            <w:tcW w:w="160" w:type="dxa"/>
            <w:vAlign w:val="bottom"/>
            <w:gridSpan w:val="2"/>
            <w:shd w:val="clear" w:color="auto" w:fill="CCEEFF"/>
          </w:tcPr>
          <w:p>
            <w:pPr>
              <w:jc w:val="right"/>
              <w:ind w:right="33"/>
              <w:spacing w:after="0" w:line="94" w:lineRule="exact"/>
              <w:rPr>
                <w:sz w:val="20"/>
                <w:szCs w:val="20"/>
                <w:color w:val="auto"/>
              </w:rPr>
            </w:pPr>
            <w:r>
              <w:rPr>
                <w:rFonts w:ascii="Times New Roman" w:cs="Times New Roman" w:eastAsia="Times New Roman" w:hAnsi="Times New Roman"/>
                <w:sz w:val="9"/>
                <w:szCs w:val="9"/>
                <w:b w:val="1"/>
                <w:bCs w:val="1"/>
                <w:color w:val="auto"/>
              </w:rPr>
              <w:t>$</w:t>
            </w:r>
          </w:p>
        </w:tc>
        <w:tc>
          <w:tcPr>
            <w:tcW w:w="72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b w:val="1"/>
                <w:bCs w:val="1"/>
                <w:color w:val="auto"/>
              </w:rPr>
              <w:t>(1,396)</w:t>
            </w:r>
          </w:p>
        </w:tc>
        <w:tc>
          <w:tcPr>
            <w:tcW w:w="460" w:type="dxa"/>
            <w:vAlign w:val="bottom"/>
            <w:shd w:val="clear" w:color="auto" w:fill="CCEEFF"/>
          </w:tcPr>
          <w:p>
            <w:pPr>
              <w:jc w:val="center"/>
              <w:ind w:right="17"/>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6"/>
              </w:rPr>
              <w:t>29%</w:t>
            </w: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b w:val="1"/>
                <w:bCs w:val="1"/>
                <w:color w:val="auto"/>
              </w:rPr>
              <w:t>(3,946)</w:t>
            </w:r>
          </w:p>
        </w:tc>
        <w:tc>
          <w:tcPr>
            <w:tcW w:w="460" w:type="dxa"/>
            <w:vAlign w:val="bottom"/>
            <w:shd w:val="clear" w:color="auto" w:fill="CCEEFF"/>
          </w:tcPr>
          <w:p>
            <w:pPr>
              <w:jc w:val="center"/>
              <w:ind w:right="17"/>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6"/>
              </w:rPr>
              <w:t>28%</w:t>
            </w:r>
          </w:p>
        </w:tc>
        <w:tc>
          <w:tcPr>
            <w:tcW w:w="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b w:val="1"/>
                <w:bCs w:val="1"/>
                <w:color w:val="auto"/>
              </w:rPr>
              <w:t>(4,809)</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center"/>
              <w:ind w:right="37"/>
              <w:spacing w:after="0" w:line="94" w:lineRule="exact"/>
              <w:rPr>
                <w:sz w:val="20"/>
                <w:szCs w:val="20"/>
                <w:color w:val="auto"/>
              </w:rPr>
            </w:pPr>
            <w:r>
              <w:rPr>
                <w:rFonts w:ascii="Times New Roman" w:cs="Times New Roman" w:eastAsia="Times New Roman" w:hAnsi="Times New Roman"/>
                <w:sz w:val="9"/>
                <w:szCs w:val="9"/>
                <w:b w:val="1"/>
                <w:bCs w:val="1"/>
                <w:i w:val="1"/>
                <w:iCs w:val="1"/>
                <w:color w:val="auto"/>
                <w:w w:val="96"/>
              </w:rPr>
              <w:t>32%</w:t>
            </w: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b w:val="1"/>
                <w:bCs w:val="1"/>
                <w:color w:val="auto"/>
              </w:rPr>
              <w:t>6%</w:t>
            </w:r>
          </w:p>
        </w:tc>
        <w:tc>
          <w:tcPr>
            <w:tcW w:w="620" w:type="dxa"/>
            <w:vAlign w:val="bottom"/>
            <w:shd w:val="clear" w:color="auto" w:fill="CCEEFF"/>
          </w:tcPr>
          <w:p>
            <w:pPr>
              <w:jc w:val="right"/>
              <w:ind w:right="37"/>
              <w:spacing w:after="0" w:line="94" w:lineRule="exact"/>
              <w:rPr>
                <w:sz w:val="20"/>
                <w:szCs w:val="20"/>
                <w:color w:val="auto"/>
              </w:rPr>
            </w:pPr>
            <w:r>
              <w:rPr>
                <w:rFonts w:ascii="Times New Roman" w:cs="Times New Roman" w:eastAsia="Times New Roman" w:hAnsi="Times New Roman"/>
                <w:sz w:val="9"/>
                <w:szCs w:val="9"/>
                <w:b w:val="1"/>
                <w:bCs w:val="1"/>
                <w:color w:val="auto"/>
              </w:rPr>
              <w:t>18%</w:t>
            </w:r>
          </w:p>
        </w:tc>
        <w:tc>
          <w:tcPr>
            <w:tcW w:w="0" w:type="dxa"/>
            <w:vAlign w:val="bottom"/>
          </w:tcPr>
          <w:p>
            <w:pPr>
              <w:spacing w:after="0"/>
              <w:rPr>
                <w:sz w:val="1"/>
                <w:szCs w:val="1"/>
                <w:color w:val="auto"/>
              </w:rPr>
            </w:pPr>
          </w:p>
        </w:tc>
      </w:tr>
      <w:tr>
        <w:trPr>
          <w:trHeight w:val="92"/>
        </w:trPr>
        <w:tc>
          <w:tcPr>
            <w:tcW w:w="1700" w:type="dxa"/>
            <w:vAlign w:val="bottom"/>
            <w:tcBorders>
              <w:top w:val="single" w:sz="8" w:color="CCEEFF"/>
            </w:tcBorders>
          </w:tcPr>
          <w:p>
            <w:pPr>
              <w:spacing w:after="0"/>
              <w:rPr>
                <w:sz w:val="7"/>
                <w:szCs w:val="7"/>
                <w:color w:val="auto"/>
              </w:rPr>
            </w:pPr>
          </w:p>
        </w:tc>
        <w:tc>
          <w:tcPr>
            <w:tcW w:w="2700" w:type="dxa"/>
            <w:vAlign w:val="bottom"/>
            <w:tcBorders>
              <w:top w:val="single" w:sz="8" w:color="CCEEFF"/>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38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460" w:type="dxa"/>
            <w:vAlign w:val="bottom"/>
            <w:tcBorders>
              <w:top w:val="single" w:sz="8" w:color="CCEEFF"/>
            </w:tcBorders>
          </w:tcPr>
          <w:p>
            <w:pPr>
              <w:spacing w:after="0"/>
              <w:rPr>
                <w:sz w:val="7"/>
                <w:szCs w:val="7"/>
                <w:color w:val="auto"/>
              </w:rPr>
            </w:pPr>
          </w:p>
        </w:tc>
        <w:tc>
          <w:tcPr>
            <w:tcW w:w="36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46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44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740" w:type="dxa"/>
            <w:vAlign w:val="bottom"/>
            <w:tcBorders>
              <w:top w:val="single" w:sz="8" w:color="CCEEFF"/>
            </w:tcBorders>
          </w:tcPr>
          <w:p>
            <w:pPr>
              <w:spacing w:after="0"/>
              <w:rPr>
                <w:sz w:val="7"/>
                <w:szCs w:val="7"/>
                <w:color w:val="auto"/>
              </w:rPr>
            </w:pPr>
          </w:p>
        </w:tc>
        <w:tc>
          <w:tcPr>
            <w:tcW w:w="620" w:type="dxa"/>
            <w:vAlign w:val="bottom"/>
            <w:tcBorders>
              <w:top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40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9"/>
                <w:szCs w:val="9"/>
                <w:b w:val="1"/>
                <w:bCs w:val="1"/>
                <w:color w:val="auto"/>
              </w:rPr>
              <w:t>OPERATING INCOME (LOSS) - REAL ESTATE</w:t>
            </w: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700" w:type="dxa"/>
            <w:vAlign w:val="bottom"/>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United States</w:t>
            </w:r>
          </w:p>
        </w:tc>
        <w:tc>
          <w:tcPr>
            <w:tcW w:w="2700" w:type="dxa"/>
            <w:vAlign w:val="bottom"/>
          </w:tcPr>
          <w:p>
            <w:pPr>
              <w:spacing w:after="0"/>
              <w:rPr>
                <w:sz w:val="8"/>
                <w:szCs w:val="8"/>
                <w:color w:val="auto"/>
              </w:rPr>
            </w:pPr>
          </w:p>
        </w:tc>
        <w:tc>
          <w:tcPr>
            <w:tcW w:w="120" w:type="dxa"/>
            <w:vAlign w:val="bottom"/>
          </w:tcPr>
          <w:p>
            <w:pPr>
              <w:jc w:val="right"/>
              <w:ind w:right="17"/>
              <w:spacing w:after="0" w:line="94" w:lineRule="exact"/>
              <w:rPr>
                <w:sz w:val="20"/>
                <w:szCs w:val="20"/>
                <w:color w:val="auto"/>
              </w:rPr>
            </w:pPr>
            <w:r>
              <w:rPr>
                <w:rFonts w:ascii="Times New Roman" w:cs="Times New Roman" w:eastAsia="Times New Roman" w:hAnsi="Times New Roman"/>
                <w:sz w:val="9"/>
                <w:szCs w:val="9"/>
                <w:color w:val="auto"/>
                <w:w w:val="87"/>
              </w:rPr>
              <w:t>$</w:t>
            </w:r>
          </w:p>
        </w:tc>
        <w:tc>
          <w:tcPr>
            <w:tcW w:w="74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253</w:t>
            </w:r>
          </w:p>
        </w:tc>
        <w:tc>
          <w:tcPr>
            <w:tcW w:w="38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6%</w:t>
            </w:r>
          </w:p>
        </w:tc>
        <w:tc>
          <w:tcPr>
            <w:tcW w:w="160" w:type="dxa"/>
            <w:vAlign w:val="bottom"/>
            <w:gridSpan w:val="2"/>
          </w:tcPr>
          <w:p>
            <w:pPr>
              <w:jc w:val="right"/>
              <w:ind w:right="33"/>
              <w:spacing w:after="0" w:line="94"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(76)</w:t>
            </w:r>
          </w:p>
        </w:tc>
        <w:tc>
          <w:tcPr>
            <w:tcW w:w="46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88"/>
              </w:rPr>
              <w:t>(2)%</w:t>
            </w:r>
          </w:p>
        </w:tc>
        <w:tc>
          <w:tcPr>
            <w:tcW w:w="360" w:type="dxa"/>
            <w:vAlign w:val="bottom"/>
          </w:tcPr>
          <w:p>
            <w:pPr>
              <w:spacing w:after="0"/>
              <w:rPr>
                <w:sz w:val="8"/>
                <w:szCs w:val="8"/>
                <w:color w:val="auto"/>
              </w:rPr>
            </w:pP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484</w:t>
            </w:r>
          </w:p>
        </w:tc>
        <w:tc>
          <w:tcPr>
            <w:tcW w:w="46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3%</w:t>
            </w:r>
          </w:p>
        </w:tc>
        <w:tc>
          <w:tcPr>
            <w:tcW w:w="80" w:type="dxa"/>
            <w:vAlign w:val="bottom"/>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(645)</w:t>
            </w:r>
          </w:p>
        </w:tc>
        <w:tc>
          <w:tcPr>
            <w:tcW w:w="60" w:type="dxa"/>
            <w:vAlign w:val="bottom"/>
          </w:tcPr>
          <w:p>
            <w:pPr>
              <w:spacing w:after="0"/>
              <w:rPr>
                <w:sz w:val="8"/>
                <w:szCs w:val="8"/>
                <w:color w:val="auto"/>
              </w:rPr>
            </w:pPr>
          </w:p>
        </w:tc>
        <w:tc>
          <w:tcPr>
            <w:tcW w:w="44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(4)%</w:t>
            </w:r>
          </w:p>
        </w:tc>
        <w:tc>
          <w:tcPr>
            <w:tcW w:w="60" w:type="dxa"/>
            <w:vAlign w:val="bottom"/>
          </w:tcPr>
          <w:p>
            <w:pPr>
              <w:spacing w:after="0"/>
              <w:rPr>
                <w:sz w:val="8"/>
                <w:szCs w:val="8"/>
                <w:color w:val="auto"/>
              </w:rPr>
            </w:pPr>
          </w:p>
        </w:tc>
        <w:tc>
          <w:tcPr>
            <w:tcW w:w="7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&gt;100%</w:t>
            </w:r>
          </w:p>
        </w:tc>
        <w:tc>
          <w:tcPr>
            <w:tcW w:w="62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&gt;100%</w:t>
            </w:r>
          </w:p>
        </w:tc>
        <w:tc>
          <w:tcPr>
            <w:tcW w:w="0" w:type="dxa"/>
            <w:vAlign w:val="bottom"/>
          </w:tcPr>
          <w:p>
            <w:pPr>
              <w:spacing w:after="0"/>
              <w:rPr>
                <w:sz w:val="1"/>
                <w:szCs w:val="1"/>
                <w:color w:val="auto"/>
              </w:rPr>
            </w:pPr>
          </w:p>
        </w:tc>
      </w:tr>
      <w:tr>
        <w:trPr>
          <w:trHeight w:val="93"/>
        </w:trPr>
        <w:tc>
          <w:tcPr>
            <w:tcW w:w="1700" w:type="dxa"/>
            <w:vAlign w:val="bottom"/>
            <w:shd w:val="clear" w:color="auto" w:fill="CCEEFF"/>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Australia</w:t>
            </w:r>
          </w:p>
        </w:tc>
        <w:tc>
          <w:tcPr>
            <w:tcW w:w="2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1,044</w:t>
            </w:r>
          </w:p>
        </w:tc>
        <w:tc>
          <w:tcPr>
            <w:tcW w:w="380" w:type="dxa"/>
            <w:vAlign w:val="bottom"/>
            <w:shd w:val="clear" w:color="auto" w:fill="CCEEFF"/>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6"/>
              </w:rPr>
              <w:t>23%</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1,602</w:t>
            </w:r>
          </w:p>
        </w:tc>
        <w:tc>
          <w:tcPr>
            <w:tcW w:w="460" w:type="dxa"/>
            <w:vAlign w:val="bottom"/>
            <w:shd w:val="clear" w:color="auto" w:fill="CCEEFF"/>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6"/>
              </w:rPr>
              <w:t>33%</w:t>
            </w: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3,923</w:t>
            </w:r>
          </w:p>
        </w:tc>
        <w:tc>
          <w:tcPr>
            <w:tcW w:w="460" w:type="dxa"/>
            <w:vAlign w:val="bottom"/>
            <w:shd w:val="clear" w:color="auto" w:fill="CCEEFF"/>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6"/>
              </w:rPr>
              <w:t>28%</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9"/>
                <w:szCs w:val="9"/>
                <w:color w:val="auto"/>
              </w:rPr>
              <w:t>4,521</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center"/>
              <w:ind w:right="37"/>
              <w:spacing w:after="0" w:line="94" w:lineRule="exact"/>
              <w:rPr>
                <w:sz w:val="20"/>
                <w:szCs w:val="20"/>
                <w:color w:val="auto"/>
              </w:rPr>
            </w:pPr>
            <w:r>
              <w:rPr>
                <w:rFonts w:ascii="Times New Roman" w:cs="Times New Roman" w:eastAsia="Times New Roman" w:hAnsi="Times New Roman"/>
                <w:sz w:val="9"/>
                <w:szCs w:val="9"/>
                <w:i w:val="1"/>
                <w:iCs w:val="1"/>
                <w:color w:val="auto"/>
                <w:w w:val="96"/>
              </w:rPr>
              <w:t>30%</w:t>
            </w: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(35)%</w:t>
            </w:r>
          </w:p>
        </w:tc>
        <w:tc>
          <w:tcPr>
            <w:tcW w:w="620" w:type="dxa"/>
            <w:vAlign w:val="bottom"/>
            <w:shd w:val="clear" w:color="auto" w:fill="CCEEFF"/>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(13)%</w:t>
            </w:r>
          </w:p>
        </w:tc>
        <w:tc>
          <w:tcPr>
            <w:tcW w:w="0" w:type="dxa"/>
            <w:vAlign w:val="bottom"/>
          </w:tcPr>
          <w:p>
            <w:pPr>
              <w:spacing w:after="0"/>
              <w:rPr>
                <w:sz w:val="1"/>
                <w:szCs w:val="1"/>
                <w:color w:val="auto"/>
              </w:rPr>
            </w:pPr>
          </w:p>
        </w:tc>
      </w:tr>
      <w:tr>
        <w:trPr>
          <w:trHeight w:val="93"/>
        </w:trPr>
        <w:tc>
          <w:tcPr>
            <w:tcW w:w="1700" w:type="dxa"/>
            <w:vAlign w:val="bottom"/>
          </w:tcPr>
          <w:p>
            <w:pPr>
              <w:ind w:left="220"/>
              <w:spacing w:after="0" w:line="94" w:lineRule="exact"/>
              <w:rPr>
                <w:sz w:val="20"/>
                <w:szCs w:val="20"/>
                <w:color w:val="auto"/>
              </w:rPr>
            </w:pPr>
            <w:r>
              <w:rPr>
                <w:rFonts w:ascii="Times New Roman" w:cs="Times New Roman" w:eastAsia="Times New Roman" w:hAnsi="Times New Roman"/>
                <w:sz w:val="9"/>
                <w:szCs w:val="9"/>
                <w:b w:val="1"/>
                <w:bCs w:val="1"/>
                <w:color w:val="auto"/>
              </w:rPr>
              <w:t>New Zealand</w:t>
            </w:r>
          </w:p>
        </w:tc>
        <w:tc>
          <w:tcPr>
            <w:tcW w:w="2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90</w:t>
            </w:r>
          </w:p>
        </w:tc>
        <w:tc>
          <w:tcPr>
            <w:tcW w:w="60" w:type="dxa"/>
            <w:vAlign w:val="bottom"/>
          </w:tcPr>
          <w:p>
            <w:pPr>
              <w:spacing w:after="0"/>
              <w:rPr>
                <w:sz w:val="8"/>
                <w:szCs w:val="8"/>
                <w:color w:val="auto"/>
              </w:rPr>
            </w:pPr>
          </w:p>
        </w:tc>
        <w:tc>
          <w:tcPr>
            <w:tcW w:w="380" w:type="dxa"/>
            <w:vAlign w:val="bottom"/>
          </w:tcPr>
          <w:p>
            <w:pPr>
              <w:jc w:val="center"/>
              <w:spacing w:after="0" w:line="94" w:lineRule="exact"/>
              <w:rPr>
                <w:sz w:val="20"/>
                <w:szCs w:val="20"/>
                <w:color w:val="auto"/>
              </w:rPr>
            </w:pPr>
            <w:r>
              <w:rPr>
                <w:rFonts w:ascii="Times New Roman" w:cs="Times New Roman" w:eastAsia="Times New Roman" w:hAnsi="Times New Roman"/>
                <w:sz w:val="9"/>
                <w:szCs w:val="9"/>
                <w:i w:val="1"/>
                <w:iCs w:val="1"/>
                <w:color w:val="auto"/>
                <w:w w:val="99"/>
              </w:rPr>
              <w:t>2%</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(130)</w:t>
            </w:r>
          </w:p>
        </w:tc>
        <w:tc>
          <w:tcPr>
            <w:tcW w:w="46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88"/>
              </w:rPr>
              <w:t>(3)%</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right"/>
              <w:ind w:right="60"/>
              <w:spacing w:after="0" w:line="94" w:lineRule="exact"/>
              <w:rPr>
                <w:sz w:val="20"/>
                <w:szCs w:val="20"/>
                <w:color w:val="auto"/>
              </w:rPr>
            </w:pPr>
            <w:r>
              <w:rPr>
                <w:rFonts w:ascii="Times New Roman" w:cs="Times New Roman" w:eastAsia="Times New Roman" w:hAnsi="Times New Roman"/>
                <w:sz w:val="9"/>
                <w:szCs w:val="9"/>
                <w:color w:val="auto"/>
              </w:rPr>
              <w:t>54</w:t>
            </w:r>
          </w:p>
        </w:tc>
        <w:tc>
          <w:tcPr>
            <w:tcW w:w="46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0%</w:t>
            </w:r>
          </w:p>
        </w:tc>
        <w:tc>
          <w:tcPr>
            <w:tcW w:w="80" w:type="dxa"/>
            <w:vAlign w:val="bottom"/>
          </w:tcPr>
          <w:p>
            <w:pPr>
              <w:spacing w:after="0"/>
              <w:rPr>
                <w:sz w:val="8"/>
                <w:szCs w:val="8"/>
                <w:color w:val="auto"/>
              </w:rPr>
            </w:pPr>
          </w:p>
        </w:tc>
        <w:tc>
          <w:tcPr>
            <w:tcW w:w="680" w:type="dxa"/>
            <w:vAlign w:val="bottom"/>
          </w:tcPr>
          <w:p>
            <w:pPr>
              <w:jc w:val="right"/>
              <w:spacing w:after="0" w:line="94" w:lineRule="exact"/>
              <w:rPr>
                <w:sz w:val="20"/>
                <w:szCs w:val="20"/>
                <w:color w:val="auto"/>
              </w:rPr>
            </w:pPr>
            <w:r>
              <w:rPr>
                <w:rFonts w:ascii="Times New Roman" w:cs="Times New Roman" w:eastAsia="Times New Roman" w:hAnsi="Times New Roman"/>
                <w:sz w:val="9"/>
                <w:szCs w:val="9"/>
                <w:color w:val="auto"/>
              </w:rPr>
              <w:t>(642)</w:t>
            </w:r>
          </w:p>
        </w:tc>
        <w:tc>
          <w:tcPr>
            <w:tcW w:w="60" w:type="dxa"/>
            <w:vAlign w:val="bottom"/>
          </w:tcPr>
          <w:p>
            <w:pPr>
              <w:spacing w:after="0"/>
              <w:rPr>
                <w:sz w:val="8"/>
                <w:szCs w:val="8"/>
                <w:color w:val="auto"/>
              </w:rPr>
            </w:pPr>
          </w:p>
        </w:tc>
        <w:tc>
          <w:tcPr>
            <w:tcW w:w="440" w:type="dxa"/>
            <w:vAlign w:val="bottom"/>
          </w:tcPr>
          <w:p>
            <w:pPr>
              <w:jc w:val="center"/>
              <w:ind w:right="17"/>
              <w:spacing w:after="0" w:line="94" w:lineRule="exact"/>
              <w:rPr>
                <w:sz w:val="20"/>
                <w:szCs w:val="20"/>
                <w:color w:val="auto"/>
              </w:rPr>
            </w:pPr>
            <w:r>
              <w:rPr>
                <w:rFonts w:ascii="Times New Roman" w:cs="Times New Roman" w:eastAsia="Times New Roman" w:hAnsi="Times New Roman"/>
                <w:sz w:val="9"/>
                <w:szCs w:val="9"/>
                <w:i w:val="1"/>
                <w:iCs w:val="1"/>
                <w:color w:val="auto"/>
                <w:w w:val="99"/>
              </w:rPr>
              <w:t>(4)%</w:t>
            </w:r>
          </w:p>
        </w:tc>
        <w:tc>
          <w:tcPr>
            <w:tcW w:w="60" w:type="dxa"/>
            <w:vAlign w:val="bottom"/>
          </w:tcPr>
          <w:p>
            <w:pPr>
              <w:spacing w:after="0"/>
              <w:rPr>
                <w:sz w:val="8"/>
                <w:szCs w:val="8"/>
                <w:color w:val="auto"/>
              </w:rPr>
            </w:pPr>
          </w:p>
        </w:tc>
        <w:tc>
          <w:tcPr>
            <w:tcW w:w="74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&gt;100%</w:t>
            </w:r>
          </w:p>
        </w:tc>
        <w:tc>
          <w:tcPr>
            <w:tcW w:w="620" w:type="dxa"/>
            <w:vAlign w:val="bottom"/>
          </w:tcPr>
          <w:p>
            <w:pPr>
              <w:jc w:val="right"/>
              <w:ind w:right="57"/>
              <w:spacing w:after="0" w:line="94" w:lineRule="exact"/>
              <w:rPr>
                <w:sz w:val="20"/>
                <w:szCs w:val="20"/>
                <w:color w:val="auto"/>
              </w:rPr>
            </w:pPr>
            <w:r>
              <w:rPr>
                <w:rFonts w:ascii="Times New Roman" w:cs="Times New Roman" w:eastAsia="Times New Roman" w:hAnsi="Times New Roman"/>
                <w:sz w:val="9"/>
                <w:szCs w:val="9"/>
                <w:color w:val="auto"/>
              </w:rPr>
              <w:t>&gt;100%</w:t>
            </w:r>
          </w:p>
        </w:tc>
        <w:tc>
          <w:tcPr>
            <w:tcW w:w="0" w:type="dxa"/>
            <w:vAlign w:val="bottom"/>
          </w:tcPr>
          <w:p>
            <w:pPr>
              <w:spacing w:after="0"/>
              <w:rPr>
                <w:sz w:val="1"/>
                <w:szCs w:val="1"/>
                <w:color w:val="auto"/>
              </w:rPr>
            </w:pPr>
          </w:p>
        </w:tc>
      </w:tr>
      <w:tr>
        <w:trPr>
          <w:trHeight w:val="82"/>
        </w:trPr>
        <w:tc>
          <w:tcPr>
            <w:tcW w:w="1700" w:type="dxa"/>
            <w:vAlign w:val="bottom"/>
            <w:tcBorders>
              <w:top w:val="single" w:sz="8" w:color="CCEEFF"/>
              <w:bottom w:val="single" w:sz="8" w:color="CCEEFF"/>
            </w:tcBorders>
            <w:shd w:val="clear" w:color="auto" w:fill="CCEEFF"/>
          </w:tcPr>
          <w:p>
            <w:pPr>
              <w:ind w:left="220"/>
              <w:spacing w:after="0" w:line="83" w:lineRule="exact"/>
              <w:rPr>
                <w:sz w:val="20"/>
                <w:szCs w:val="20"/>
                <w:color w:val="auto"/>
              </w:rPr>
            </w:pPr>
            <w:r>
              <w:rPr>
                <w:rFonts w:ascii="Times New Roman" w:cs="Times New Roman" w:eastAsia="Times New Roman" w:hAnsi="Times New Roman"/>
                <w:sz w:val="9"/>
                <w:szCs w:val="9"/>
                <w:b w:val="1"/>
                <w:bCs w:val="1"/>
                <w:color w:val="auto"/>
                <w:w w:val="95"/>
              </w:rPr>
              <w:t>Total real estate operating income (loss)</w:t>
            </w:r>
          </w:p>
        </w:tc>
        <w:tc>
          <w:tcPr>
            <w:tcW w:w="2700" w:type="dxa"/>
            <w:vAlign w:val="bottom"/>
            <w:tcBorders>
              <w:top w:val="single" w:sz="8" w:color="CCEEFF"/>
              <w:bottom w:val="single" w:sz="8" w:color="CCEEFF"/>
            </w:tcBorders>
            <w:shd w:val="clear" w:color="auto" w:fill="CCEEFF"/>
          </w:tcPr>
          <w:p>
            <w:pPr>
              <w:spacing w:after="0"/>
              <w:rPr>
                <w:sz w:val="7"/>
                <w:szCs w:val="7"/>
                <w:color w:val="auto"/>
              </w:rPr>
            </w:pPr>
          </w:p>
        </w:tc>
        <w:tc>
          <w:tcPr>
            <w:tcW w:w="120" w:type="dxa"/>
            <w:vAlign w:val="bottom"/>
            <w:tcBorders>
              <w:top w:val="single" w:sz="8" w:color="auto"/>
              <w:bottom w:val="single" w:sz="8" w:color="auto"/>
            </w:tcBorders>
            <w:shd w:val="clear" w:color="auto" w:fill="CCEEFF"/>
          </w:tcPr>
          <w:p>
            <w:pPr>
              <w:jc w:val="right"/>
              <w:ind w:right="17"/>
              <w:spacing w:after="0" w:line="83" w:lineRule="exact"/>
              <w:rPr>
                <w:sz w:val="20"/>
                <w:szCs w:val="20"/>
                <w:color w:val="auto"/>
              </w:rPr>
            </w:pPr>
            <w:r>
              <w:rPr>
                <w:rFonts w:ascii="Times New Roman" w:cs="Times New Roman" w:eastAsia="Times New Roman" w:hAnsi="Times New Roman"/>
                <w:sz w:val="9"/>
                <w:szCs w:val="9"/>
                <w:b w:val="1"/>
                <w:bCs w:val="1"/>
                <w:color w:val="auto"/>
                <w:w w:val="87"/>
              </w:rPr>
              <w:t>$</w:t>
            </w:r>
          </w:p>
        </w:tc>
        <w:tc>
          <w:tcPr>
            <w:tcW w:w="68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1,387</w:t>
            </w:r>
          </w:p>
        </w:tc>
        <w:tc>
          <w:tcPr>
            <w:tcW w:w="60" w:type="dxa"/>
            <w:vAlign w:val="bottom"/>
            <w:tcBorders>
              <w:top w:val="single" w:sz="8" w:color="CCEEFF"/>
              <w:bottom w:val="single" w:sz="8" w:color="CCEEFF"/>
            </w:tcBorders>
            <w:shd w:val="clear" w:color="auto" w:fill="CCEEFF"/>
          </w:tcPr>
          <w:p>
            <w:pPr>
              <w:spacing w:after="0"/>
              <w:rPr>
                <w:sz w:val="7"/>
                <w:szCs w:val="7"/>
                <w:color w:val="auto"/>
              </w:rPr>
            </w:pPr>
          </w:p>
        </w:tc>
        <w:tc>
          <w:tcPr>
            <w:tcW w:w="380" w:type="dxa"/>
            <w:vAlign w:val="bottom"/>
            <w:tcBorders>
              <w:top w:val="single" w:sz="8" w:color="CCEEFF"/>
              <w:bottom w:val="single" w:sz="8" w:color="CCEEFF"/>
            </w:tcBorders>
            <w:shd w:val="clear" w:color="auto" w:fill="CCEEFF"/>
          </w:tcPr>
          <w:p>
            <w:pPr>
              <w:jc w:val="center"/>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30%</w:t>
            </w:r>
          </w:p>
        </w:tc>
        <w:tc>
          <w:tcPr>
            <w:tcW w:w="60" w:type="dxa"/>
            <w:vAlign w:val="bottom"/>
            <w:tcBorders>
              <w:top w:val="single" w:sz="8" w:color="CCEEFF"/>
              <w:bottom w:val="single" w:sz="8" w:color="CCEEFF"/>
            </w:tcBorders>
            <w:shd w:val="clear" w:color="auto" w:fill="CCEEFF"/>
          </w:tcPr>
          <w:p>
            <w:pPr>
              <w:spacing w:after="0"/>
              <w:rPr>
                <w:sz w:val="7"/>
                <w:szCs w:val="7"/>
                <w:color w:val="auto"/>
              </w:rPr>
            </w:pPr>
          </w:p>
        </w:tc>
        <w:tc>
          <w:tcPr>
            <w:tcW w:w="1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1,396</w:t>
            </w:r>
          </w:p>
        </w:tc>
        <w:tc>
          <w:tcPr>
            <w:tcW w:w="60" w:type="dxa"/>
            <w:vAlign w:val="bottom"/>
            <w:tcBorders>
              <w:top w:val="single" w:sz="8" w:color="CCEEFF"/>
              <w:bottom w:val="single" w:sz="8" w:color="CCEEFF"/>
            </w:tcBorders>
            <w:shd w:val="clear" w:color="auto" w:fill="CCEEFF"/>
          </w:tcPr>
          <w:p>
            <w:pPr>
              <w:spacing w:after="0"/>
              <w:rPr>
                <w:sz w:val="7"/>
                <w:szCs w:val="7"/>
                <w:color w:val="auto"/>
              </w:rPr>
            </w:pPr>
          </w:p>
        </w:tc>
        <w:tc>
          <w:tcPr>
            <w:tcW w:w="460" w:type="dxa"/>
            <w:vAlign w:val="bottom"/>
            <w:tcBorders>
              <w:top w:val="single" w:sz="8" w:color="CCEEFF"/>
              <w:bottom w:val="single" w:sz="8" w:color="CCEEFF"/>
            </w:tcBorders>
            <w:shd w:val="clear" w:color="auto" w:fill="CCEEFF"/>
          </w:tcPr>
          <w:p>
            <w:pPr>
              <w:jc w:val="center"/>
              <w:ind w:right="17"/>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29%</w:t>
            </w:r>
          </w:p>
        </w:tc>
        <w:tc>
          <w:tcPr>
            <w:tcW w:w="360" w:type="dxa"/>
            <w:vAlign w:val="bottom"/>
            <w:tcBorders>
              <w:top w:val="single" w:sz="8" w:color="CCEEFF"/>
              <w:bottom w:val="single" w:sz="8" w:color="CCEEFF"/>
            </w:tcBorders>
            <w:shd w:val="clear" w:color="auto" w:fill="CCEEFF"/>
          </w:tcPr>
          <w:p>
            <w:pPr>
              <w:spacing w:after="0"/>
              <w:rPr>
                <w:sz w:val="7"/>
                <w:szCs w:val="7"/>
                <w:color w:val="auto"/>
              </w:rPr>
            </w:pPr>
          </w:p>
        </w:tc>
        <w:tc>
          <w:tcPr>
            <w:tcW w:w="1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4,461</w:t>
            </w:r>
          </w:p>
        </w:tc>
        <w:tc>
          <w:tcPr>
            <w:tcW w:w="60" w:type="dxa"/>
            <w:vAlign w:val="bottom"/>
            <w:tcBorders>
              <w:top w:val="single" w:sz="8" w:color="CCEEFF"/>
              <w:bottom w:val="single" w:sz="8" w:color="CCEEFF"/>
            </w:tcBorders>
            <w:shd w:val="clear" w:color="auto" w:fill="CCEEFF"/>
          </w:tcPr>
          <w:p>
            <w:pPr>
              <w:spacing w:after="0"/>
              <w:rPr>
                <w:sz w:val="7"/>
                <w:szCs w:val="7"/>
                <w:color w:val="auto"/>
              </w:rPr>
            </w:pPr>
          </w:p>
        </w:tc>
        <w:tc>
          <w:tcPr>
            <w:tcW w:w="460" w:type="dxa"/>
            <w:vAlign w:val="bottom"/>
            <w:tcBorders>
              <w:top w:val="single" w:sz="8" w:color="CCEEFF"/>
              <w:bottom w:val="single" w:sz="8" w:color="CCEEFF"/>
            </w:tcBorders>
            <w:shd w:val="clear" w:color="auto" w:fill="CCEEFF"/>
          </w:tcPr>
          <w:p>
            <w:pPr>
              <w:jc w:val="center"/>
              <w:ind w:right="17"/>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32%</w:t>
            </w:r>
          </w:p>
        </w:tc>
        <w:tc>
          <w:tcPr>
            <w:tcW w:w="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Borders>
              <w:top w:val="single" w:sz="8" w:color="auto"/>
              <w:bottom w:val="single" w:sz="8" w:color="auto"/>
            </w:tcBorders>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3,234</w:t>
            </w:r>
          </w:p>
        </w:tc>
        <w:tc>
          <w:tcPr>
            <w:tcW w:w="60" w:type="dxa"/>
            <w:vAlign w:val="bottom"/>
            <w:tcBorders>
              <w:top w:val="single" w:sz="8" w:color="CCEEFF"/>
              <w:bottom w:val="single" w:sz="8" w:color="CCEEFF"/>
            </w:tcBorders>
            <w:shd w:val="clear" w:color="auto" w:fill="CCEEFF"/>
          </w:tcPr>
          <w:p>
            <w:pPr>
              <w:spacing w:after="0"/>
              <w:rPr>
                <w:sz w:val="7"/>
                <w:szCs w:val="7"/>
                <w:color w:val="auto"/>
              </w:rPr>
            </w:pPr>
          </w:p>
        </w:tc>
        <w:tc>
          <w:tcPr>
            <w:tcW w:w="440" w:type="dxa"/>
            <w:vAlign w:val="bottom"/>
            <w:tcBorders>
              <w:top w:val="single" w:sz="8" w:color="CCEEFF"/>
              <w:bottom w:val="single" w:sz="8" w:color="CCEEFF"/>
            </w:tcBorders>
            <w:shd w:val="clear" w:color="auto" w:fill="CCEEFF"/>
          </w:tcPr>
          <w:p>
            <w:pPr>
              <w:jc w:val="center"/>
              <w:ind w:right="37"/>
              <w:spacing w:after="0" w:line="83" w:lineRule="exact"/>
              <w:rPr>
                <w:sz w:val="20"/>
                <w:szCs w:val="20"/>
                <w:color w:val="auto"/>
              </w:rPr>
            </w:pPr>
            <w:r>
              <w:rPr>
                <w:rFonts w:ascii="Times New Roman" w:cs="Times New Roman" w:eastAsia="Times New Roman" w:hAnsi="Times New Roman"/>
                <w:sz w:val="9"/>
                <w:szCs w:val="9"/>
                <w:b w:val="1"/>
                <w:bCs w:val="1"/>
                <w:i w:val="1"/>
                <w:iCs w:val="1"/>
                <w:color w:val="auto"/>
                <w:w w:val="96"/>
              </w:rPr>
              <w:t>22%</w:t>
            </w:r>
          </w:p>
        </w:tc>
        <w:tc>
          <w:tcPr>
            <w:tcW w:w="60" w:type="dxa"/>
            <w:vAlign w:val="bottom"/>
            <w:tcBorders>
              <w:top w:val="single" w:sz="8" w:color="CCEEFF"/>
              <w:bottom w:val="single" w:sz="8" w:color="CCEEFF"/>
            </w:tcBorders>
            <w:shd w:val="clear" w:color="auto" w:fill="CCEEFF"/>
          </w:tcPr>
          <w:p>
            <w:pPr>
              <w:spacing w:after="0"/>
              <w:rPr>
                <w:sz w:val="7"/>
                <w:szCs w:val="7"/>
                <w:color w:val="auto"/>
              </w:rPr>
            </w:pPr>
          </w:p>
        </w:tc>
        <w:tc>
          <w:tcPr>
            <w:tcW w:w="740" w:type="dxa"/>
            <w:vAlign w:val="bottom"/>
            <w:tcBorders>
              <w:top w:val="single" w:sz="8" w:color="CCEEFF"/>
              <w:bottom w:val="single" w:sz="8" w:color="CCEEFF"/>
            </w:tcBorders>
            <w:shd w:val="clear" w:color="auto" w:fill="CCEEFF"/>
          </w:tcPr>
          <w:p>
            <w:pPr>
              <w:jc w:val="right"/>
              <w:ind w:right="37"/>
              <w:spacing w:after="0" w:line="83" w:lineRule="exact"/>
              <w:rPr>
                <w:sz w:val="20"/>
                <w:szCs w:val="20"/>
                <w:color w:val="auto"/>
              </w:rPr>
            </w:pPr>
            <w:r>
              <w:rPr>
                <w:rFonts w:ascii="Times New Roman" w:cs="Times New Roman" w:eastAsia="Times New Roman" w:hAnsi="Times New Roman"/>
                <w:sz w:val="9"/>
                <w:szCs w:val="9"/>
                <w:b w:val="1"/>
                <w:bCs w:val="1"/>
                <w:color w:val="auto"/>
              </w:rPr>
              <w:t>(1)%</w:t>
            </w:r>
          </w:p>
        </w:tc>
        <w:tc>
          <w:tcPr>
            <w:tcW w:w="620" w:type="dxa"/>
            <w:vAlign w:val="bottom"/>
            <w:tcBorders>
              <w:top w:val="single" w:sz="8" w:color="CCEEFF"/>
              <w:bottom w:val="single" w:sz="8" w:color="CCEEFF"/>
            </w:tcBorders>
            <w:shd w:val="clear" w:color="auto" w:fill="CCEEFF"/>
          </w:tcPr>
          <w:p>
            <w:pPr>
              <w:jc w:val="right"/>
              <w:ind w:right="37"/>
              <w:spacing w:after="0" w:line="83" w:lineRule="exact"/>
              <w:rPr>
                <w:sz w:val="20"/>
                <w:szCs w:val="20"/>
                <w:color w:val="auto"/>
              </w:rPr>
            </w:pPr>
            <w:r>
              <w:rPr>
                <w:rFonts w:ascii="Times New Roman" w:cs="Times New Roman" w:eastAsia="Times New Roman" w:hAnsi="Times New Roman"/>
                <w:sz w:val="9"/>
                <w:szCs w:val="9"/>
                <w:b w:val="1"/>
                <w:bCs w:val="1"/>
                <w:color w:val="auto"/>
              </w:rPr>
              <w:t>38%</w:t>
            </w: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Third Quarter Results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1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2"/>
          <w:szCs w:val="12"/>
          <w:color w:val="auto"/>
        </w:rPr>
        <w:t>Real estate rent revenue for the quarter ended September 30, 2025, decreased by $0.3 million to $4.6 million, compared to the same period in the prior year primarily due to the sale of our Wellington and Cannon Park assets, which resulted in a reduction in rental income, offset by increased Live Theatre rental and ancillary income.</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2"/>
          <w:szCs w:val="12"/>
          <w:color w:val="auto"/>
        </w:rPr>
        <w:t>For the nine months ended September 30, 2025, real estate rent revenue decreased by $0.8 million, to $14.1 million, compared to the same period in the prior year. The decrease was primarily due to lower rental income as a result of the sales of our Wellington property assets and our Cannon Park property assets, partially offset by higher Live Theatre rental and ancillary income in the U.S.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246"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b w:val="1"/>
          <w:bCs w:val="1"/>
          <w:i w:val="1"/>
          <w:iCs w:val="1"/>
          <w:color w:val="auto"/>
        </w:rPr>
        <w:t>Real Estate Segment Income/(Loss)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Real estate segment operating income for the quarter ended September 30, 2025 remained relatively flat at $1.4 million</w:t>
      </w:r>
    </w:p>
    <w:p>
      <w:pPr>
        <w:spacing w:after="0" w:line="13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2"/>
          <w:szCs w:val="12"/>
          <w:color w:val="auto"/>
        </w:rPr>
        <w:t>For the nine months ended September 30, 2025, real estate segment operating income increased by $1.2 million, to $4.5 million, compared to $3.2 million in the same period in the prior year. This increase in segment income was due to an increase in U.S. Live Theatre rental and ancillary income, decreased operating expenses and reduced depreciation, amortization, and G&amp;A expense in all three countries, partially offset by a reduction in AU and NZ rental income from the sale of properties.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results were impacted by the sale of our (i) Wellington property assets in January 2025, (ii) Cannon Park property in May 2025 and (iii) Culver City office building in February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Our Financing Strategy</w:t>
      </w:r>
    </w:p>
    <w:p>
      <w:pPr>
        <w:spacing w:after="0" w:line="13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2"/>
          <w:szCs w:val="12"/>
          <w:color w:val="auto"/>
        </w:rPr>
        <w:t>Prior to the COVID-19 pandemic, we used cash generated from operations and other excess cash, to the extent not needed, to fund capital investments contemplated by our business plan, in order to pay down our loans and credit facilities. This provided us with availability under our loan facilities for future use and thereby, reduced interest charges. On a periodic basis, we reviewed the maturities of our borrowing arrangements and negotiated renewals and extensions where necessary.</w:t>
      </w:r>
    </w:p>
    <w:p>
      <w:pPr>
        <w:spacing w:after="0" w:line="9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2"/>
          <w:szCs w:val="12"/>
          <w:color w:val="auto"/>
        </w:rPr>
        <w:t>However, disruptions to our cinema cash flow caused by the COVID-19 pandemic, the 2023 Hollywood Strikes and periods of weak theatrical releases, augmented by changing consumer habits due to each of the foregoing, and continuing macroeconomic headwinds, have made it necessary for us to defer capital expenditures and to rely on borrowings and the proceeds of asset monetizations to cover our costs of operations, pay interest, and pay down debt.</w:t>
      </w:r>
    </w:p>
    <w:p>
      <w:pPr>
        <w:spacing w:after="0" w:line="2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Our NAB financing requires that our Company comply with certain covenants. Furthermore, our Company’s use of loan funds from NAB is limited due to restrictions on the expatriation of funds from Australia to the United States. We believe that our lenders understand that the continuing effects of the factors discussed in the preceding paragraph, and various economic factors, are not of our own making, that we are taking aggressive steps to manage these industry headwinds, and that, generally speaking, our relationships with our lenders are positive.</w:t>
      </w:r>
    </w:p>
    <w:p>
      <w:pPr>
        <w:spacing w:after="0" w:line="1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2"/>
          <w:szCs w:val="12"/>
          <w:color w:val="auto"/>
        </w:rPr>
        <w:t>While our Company believes that global cinema business is recovering, we still face macroeconomic pressures such as high interest rates, inflation, supply chain issues and increased film rent, labor, and operating costs, many of which are beyond our control. We have taken a variety of steps across our various operating jurisdictions to reduce our spending, including, without limitation, deferring non-essential capital expenditures, deferring certain operational expenses, renegotiating occupancy arrangements, closing certain unprofitable cinemas, deferring compensation expenses, and eliminating certain T&amp;E expenses. We closely monitor our debt maturity dates, and where appropriate, we may seek necessary term extensions. In May 2025, we extended our Emerald Creek Capital debt’s maturity date to November 6, 2026 with an option to extend an additional 6 months to May 6, 2027. In July 2025, we executed an amendment to our Bank of America loan to extend the maturity date to May 18, 2026, and modified the paydown schedule. In July 2025, we extended the maturity date of our Santander loan to June 1, 2026. On November 12, 2025, we extended our NAB facility by 5 years and on November 13, 2025, extended our Valley National debt for a year to October 1, 2026. As of September 30, 2025, we have debt of $16.5 million coming due in the next 12 months. While the Central Banks of the three countries in which we do business have reduced interest rates from recent highs, rates remain elevated when compared to pre-Covid periods.</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On September 30, 2025, we entered into an agreement to purchase all of the partnership interests in Sutton Hill Associates, a California general partnership (“SHA”). Through its ownership of 100% of the membership interests in Sutton Hill Capital, LLC SHA’s principal assets are (i) the 25% non-controlling membership interest in Sutton Hill Properties, LLC that we do not already own and which in turn owns the land and improvements commonly known as the Cinemas 1,2,3, and (ii) the tenant’s interest in the ground lease and in the improvements commonly known at the Village East By Angelika. Both of these cinemas are located in the Borough of Manhattan, NY, NY. We have been operating these cinemas for more than the past 20 years and the ownership of these assets for accounting purposes is already consolidated into our financial statements. The consummation of the contemplated</w:t>
      </w:r>
    </w:p>
    <w:p>
      <w:pPr>
        <w:spacing w:after="0"/>
        <w:rPr>
          <w:sz w:val="20"/>
          <w:szCs w:val="20"/>
          <w:color w:val="auto"/>
        </w:rPr>
      </w:pPr>
      <w:r>
        <w:rPr>
          <w:rFonts w:ascii="Times New Roman" w:cs="Times New Roman" w:eastAsia="Times New Roman" w:hAnsi="Times New Roman"/>
          <w:sz w:val="12"/>
          <w:szCs w:val="12"/>
          <w:color w:val="auto"/>
        </w:rPr>
        <w:t>transaction is not anticipated to have a material impact on our operations. That transaction is anticipated to close in the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2"/>
          <w:szCs w:val="12"/>
          <w:color w:val="auto"/>
        </w:rPr>
        <w:t xml:space="preserve"> quarter 2025.</w:t>
      </w:r>
    </w:p>
    <w:p>
      <w:pPr>
        <w:spacing w:after="0" w:line="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2"/>
          <w:szCs w:val="12"/>
          <w:color w:val="auto"/>
        </w:rPr>
        <w:t>As discussed elsewhere in this Report, we believe that cinema cash flow for 2025 and onward will be stronger than in recent periods. However, if our Company is unable to generate sufficient cash flow in the upcoming months, we will be required to adopt one or more alternatives, such as reducing, delaying or eliminating planned capital expenditures, monetizing additional assets, restructuring our debt and/or our lease obligations or finding additional sources of liquidity. In May 2025, we sold our Cannon Park property assets in Australia for $20.7 million (AU$32.0 million) and repaid our $12.9 million (AU$20.0 million) Bridge Facility. In January 2025, we sold our Wellington property assets in New Zealand for $21.5 million (NZ$38.0 million) and repaid our $10.7 million (NZ$18.8 million) loan to Westpac and paid down $6.1 million to Bank of America. In early 2024, understanding our reduced need for administrative space during</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246" w:right="299" w:bottom="1440" w:gutter="0" w:footer="0" w:header="0"/>
        </w:sectPr>
      </w:pPr>
    </w:p>
    <w:bookmarkStart w:id="42" w:name="page43"/>
    <w:bookmarkEnd w:id="42"/>
    <w:p>
      <w:pPr>
        <w:jc w:val="both"/>
        <w:spacing w:after="0" w:line="246" w:lineRule="auto"/>
        <w:rPr>
          <w:sz w:val="20"/>
          <w:szCs w:val="20"/>
          <w:color w:val="auto"/>
        </w:rPr>
      </w:pPr>
      <w:r>
        <w:rPr>
          <w:rFonts w:ascii="Times New Roman" w:cs="Times New Roman" w:eastAsia="Times New Roman" w:hAnsi="Times New Roman"/>
          <w:sz w:val="12"/>
          <w:szCs w:val="12"/>
          <w:color w:val="auto"/>
        </w:rPr>
        <w:t>the shift to remote-working, we decreased our overall general and administrative expense by selling our administrative building in Culver City, California, freeing up cash of approximately $1.3 million (after paying off our mortgage, brokerage commissions and transactional fees). We are currently reviewing our need for replacement of office space. On October 21, 2025, we entered into an agreement for sale and purchase for our cinema and retail</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2"/>
          <w:szCs w:val="12"/>
          <w:color w:val="auto"/>
        </w:rPr>
        <w:t>property located in Napier, New Zealand, providing for a purchase price of NZ$2,500,000. The transaction is subject to the satisfactory completion of buyer due diligence. No assurances can be given that the transaction will be consummated. Also, our Newberry Yard property in Williamsport, Pennsylvania continues to be listed as an asset held for sale. This property was historically used as a rail yard, and, accordingly, improved with tracks and switches and has direct access to the area’s rail system. Certain issues as to the location of various railroad rights of way have now been resolved on what we believe to be favorable terms and terms which enhanced the value of the property.</w:t>
      </w:r>
    </w:p>
    <w:p>
      <w:pPr>
        <w:spacing w:after="0" w:line="24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2"/>
          <w:szCs w:val="12"/>
          <w:color w:val="auto"/>
        </w:rPr>
        <w:t>If we cannot obtain sufficient net proceeds from the disposition of these assets (or determine to defer disposition due to unfavorable market conditions), in addition to other strategies, we may look to monetize other real estate assets.</w:t>
      </w:r>
    </w:p>
    <w:p>
      <w:pPr>
        <w:spacing w:after="0" w:line="25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2"/>
          <w:szCs w:val="12"/>
          <w:color w:val="auto"/>
        </w:rPr>
        <w:t xml:space="preserve">For more information about our borrowings, please refer to </w:t>
      </w:r>
      <w:r>
        <w:rPr>
          <w:rFonts w:ascii="Times New Roman" w:cs="Times New Roman" w:eastAsia="Times New Roman" w:hAnsi="Times New Roman"/>
          <w:sz w:val="12"/>
          <w:szCs w:val="12"/>
          <w:i w:val="1"/>
          <w:iCs w:val="1"/>
          <w:color w:val="auto"/>
        </w:rPr>
        <w:t>Part I – Financial Information, Item 1 – Notes to Consolidated Financial Statements-- Note 13 – Borrowings</w:t>
      </w:r>
      <w:r>
        <w:rPr>
          <w:rFonts w:ascii="Times New Roman" w:cs="Times New Roman" w:eastAsia="Times New Roman" w:hAnsi="Times New Roman"/>
          <w:sz w:val="12"/>
          <w:szCs w:val="12"/>
          <w:color w:val="auto"/>
        </w:rPr>
        <w:t xml:space="preserve">. For more information about our efforts to manage our liquidity issues, see </w:t>
      </w:r>
      <w:r>
        <w:rPr>
          <w:rFonts w:ascii="Times New Roman" w:cs="Times New Roman" w:eastAsia="Times New Roman" w:hAnsi="Times New Roman"/>
          <w:sz w:val="12"/>
          <w:szCs w:val="12"/>
          <w:i w:val="1"/>
          <w:iCs w:val="1"/>
          <w:color w:val="auto"/>
        </w:rPr>
        <w:t>Part I- Financial Information, Item 1 – Notes to Consolidated Financial Statements – Note 2 – Liquidity and Impairment Assessment</w:t>
      </w:r>
      <w:r>
        <w:rPr>
          <w:rFonts w:ascii="Times New Roman" w:cs="Times New Roman" w:eastAsia="Times New Roman" w:hAnsi="Times New Roman"/>
          <w:sz w:val="12"/>
          <w:szCs w:val="12"/>
          <w:color w:val="auto"/>
        </w:rPr>
        <w: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changes in cash and cash equivalents for the nine months ended September 30, 2025, and September 30, 2024, respectively, are discussed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4"/>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66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1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ind w:right="143"/>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8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66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18"/>
              <w:spacing w:after="0" w:line="129" w:lineRule="exact"/>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98"/>
              <w:spacing w:after="0" w:line="129" w:lineRule="exact"/>
              <w:rPr>
                <w:sz w:val="20"/>
                <w:szCs w:val="20"/>
                <w:color w:val="auto"/>
              </w:rPr>
            </w:pPr>
            <w:r>
              <w:rPr>
                <w:rFonts w:ascii="Times New Roman" w:cs="Times New Roman" w:eastAsia="Times New Roman" w:hAnsi="Times New Roman"/>
                <w:sz w:val="12"/>
                <w:szCs w:val="12"/>
                <w:b w:val="1"/>
                <w:bCs w:val="1"/>
                <w:color w:val="auto"/>
              </w:rPr>
              <w:t>2024</w:t>
            </w:r>
          </w:p>
        </w:tc>
        <w:tc>
          <w:tcPr>
            <w:tcW w:w="16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(5,856)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(11,818)</w:t>
            </w: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78"/>
              <w:spacing w:after="0" w:line="129" w:lineRule="exact"/>
              <w:rPr>
                <w:sz w:val="20"/>
                <w:szCs w:val="20"/>
                <w:color w:val="auto"/>
              </w:rPr>
            </w:pPr>
            <w:r>
              <w:rPr>
                <w:rFonts w:ascii="Times New Roman" w:cs="Times New Roman" w:eastAsia="Times New Roman" w:hAnsi="Times New Roman"/>
                <w:sz w:val="12"/>
                <w:szCs w:val="12"/>
                <w:color w:val="auto"/>
              </w:rPr>
              <w:t>50</w:t>
            </w:r>
          </w:p>
        </w:tc>
        <w:tc>
          <w:tcPr>
            <w:tcW w:w="2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0"/>
        </w:trPr>
        <w:tc>
          <w:tcPr>
            <w:tcW w:w="666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37,322</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4,989</w:t>
            </w:r>
          </w:p>
        </w:tc>
        <w:tc>
          <w:tcPr>
            <w:tcW w:w="1160" w:type="dxa"/>
            <w:vAlign w:val="bottom"/>
          </w:tcPr>
          <w:p>
            <w:pPr>
              <w:jc w:val="right"/>
              <w:ind w:right="78"/>
              <w:spacing w:after="0" w:line="130" w:lineRule="exact"/>
              <w:rPr>
                <w:sz w:val="20"/>
                <w:szCs w:val="20"/>
                <w:color w:val="auto"/>
              </w:rPr>
            </w:pPr>
            <w:r>
              <w:rPr>
                <w:rFonts w:ascii="Times New Roman" w:cs="Times New Roman" w:eastAsia="Times New Roman" w:hAnsi="Times New Roman"/>
                <w:sz w:val="12"/>
                <w:szCs w:val="12"/>
                <w:color w:val="auto"/>
              </w:rPr>
              <w:t>&gt;100</w:t>
            </w:r>
          </w:p>
        </w:tc>
        <w:tc>
          <w:tcPr>
            <w:tcW w:w="2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0"/>
        </w:trPr>
        <w:tc>
          <w:tcPr>
            <w:tcW w:w="666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2"/>
                <w:szCs w:val="12"/>
                <w:color w:val="auto"/>
              </w:rPr>
              <w:t>Net cash provided by (used in) financing activities</w:t>
            </w: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(36,172)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2,127</w:t>
            </w:r>
          </w:p>
        </w:tc>
        <w:tc>
          <w:tcPr>
            <w:tcW w:w="1160" w:type="dxa"/>
            <w:vAlign w:val="bottom"/>
            <w:shd w:val="clear" w:color="auto" w:fill="CCEEFF"/>
          </w:tcPr>
          <w:p>
            <w:pPr>
              <w:jc w:val="right"/>
              <w:ind w:right="78"/>
              <w:spacing w:after="0" w:line="130" w:lineRule="exact"/>
              <w:rPr>
                <w:sz w:val="20"/>
                <w:szCs w:val="20"/>
                <w:color w:val="auto"/>
              </w:rPr>
            </w:pPr>
            <w:r>
              <w:rPr>
                <w:rFonts w:ascii="Times New Roman" w:cs="Times New Roman" w:eastAsia="Times New Roman" w:hAnsi="Times New Roman"/>
                <w:sz w:val="12"/>
                <w:szCs w:val="12"/>
                <w:color w:val="auto"/>
              </w:rPr>
              <w:t>(&gt;100)</w:t>
            </w:r>
          </w:p>
        </w:tc>
        <w:tc>
          <w:tcPr>
            <w:tcW w:w="220" w:type="dxa"/>
            <w:vAlign w:val="bottom"/>
            <w:shd w:val="clear" w:color="auto" w:fill="CCEEFF"/>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0"/>
        </w:trPr>
        <w:tc>
          <w:tcPr>
            <w:tcW w:w="666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Effect of exchange rate on cash and restricted cash</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172</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744</w:t>
            </w:r>
          </w:p>
        </w:tc>
        <w:tc>
          <w:tcPr>
            <w:tcW w:w="1160" w:type="dxa"/>
            <w:vAlign w:val="bottom"/>
          </w:tcPr>
          <w:p>
            <w:pPr>
              <w:jc w:val="right"/>
              <w:ind w:right="38"/>
              <w:spacing w:after="0" w:line="130" w:lineRule="exact"/>
              <w:rPr>
                <w:sz w:val="20"/>
                <w:szCs w:val="20"/>
                <w:color w:val="auto"/>
              </w:rPr>
            </w:pPr>
            <w:r>
              <w:rPr>
                <w:rFonts w:ascii="Times New Roman" w:cs="Times New Roman" w:eastAsia="Times New Roman" w:hAnsi="Times New Roman"/>
                <w:sz w:val="12"/>
                <w:szCs w:val="12"/>
                <w:color w:val="auto"/>
              </w:rPr>
              <w:t>(77)</w:t>
            </w:r>
          </w:p>
        </w:tc>
        <w:tc>
          <w:tcPr>
            <w:tcW w:w="2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0"/>
        </w:trPr>
        <w:tc>
          <w:tcPr>
            <w:tcW w:w="6660" w:type="dxa"/>
            <w:vAlign w:val="bottom"/>
            <w:tcBorders>
              <w:top w:val="single" w:sz="8" w:color="CCEEFF"/>
              <w:bottom w:val="single" w:sz="8" w:color="CCEEFF"/>
            </w:tcBorders>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Increase (decrease) in cash and cash equivalents and restricted cash</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jc w:val="right"/>
              <w:ind w:right="18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(4,534)</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ind w:right="38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(3,958)</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160" w:type="dxa"/>
            <w:vAlign w:val="bottom"/>
            <w:tcBorders>
              <w:top w:val="single" w:sz="8" w:color="CCEEFF"/>
              <w:bottom w:val="single" w:sz="8" w:color="CCEEFF"/>
            </w:tcBorders>
            <w:shd w:val="clear" w:color="auto" w:fill="CCEEFF"/>
          </w:tcPr>
          <w:p>
            <w:pPr>
              <w:jc w:val="right"/>
              <w:ind w:right="78"/>
              <w:spacing w:after="0" w:line="120" w:lineRule="exact"/>
              <w:rPr>
                <w:sz w:val="20"/>
                <w:szCs w:val="20"/>
                <w:color w:val="auto"/>
              </w:rPr>
            </w:pPr>
            <w:r>
              <w:rPr>
                <w:rFonts w:ascii="Times New Roman" w:cs="Times New Roman" w:eastAsia="Times New Roman" w:hAnsi="Times New Roman"/>
                <w:sz w:val="12"/>
                <w:szCs w:val="12"/>
                <w:color w:val="auto"/>
              </w:rPr>
              <w:t>(15)</w:t>
            </w:r>
          </w:p>
        </w:tc>
        <w:tc>
          <w:tcPr>
            <w:tcW w:w="220" w:type="dxa"/>
            <w:vAlign w:val="bottom"/>
            <w:tcBorders>
              <w:top w:val="single" w:sz="8" w:color="CCEEFF"/>
              <w:bottom w:val="single" w:sz="8" w:color="CCEEFF"/>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activities</w:t>
      </w:r>
    </w:p>
    <w:p>
      <w:pPr>
        <w:spacing w:after="0" w:line="1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2"/>
          <w:szCs w:val="12"/>
          <w:color w:val="auto"/>
        </w:rPr>
        <w:t>Cash used in operating activities for the nine months ended September 30, 2025, decreased by $6.0 million, to $5.9 million compared to cash used in the same period in prior year of $11.8 million. This was primarily driven by a decrease in net operating loss, partially offset by a decrease in net payables.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Investing activities</w:t>
      </w:r>
    </w:p>
    <w:p>
      <w:pPr>
        <w:spacing w:after="0" w:line="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2"/>
          <w:szCs w:val="12"/>
          <w:color w:val="auto"/>
        </w:rPr>
        <w:t>Cash provided in investing activities during the nine months ended September 30, 2025 was $37.3 million compared to cash provided in the same prior year period of $5.0 million. This was due to proceeds from sale of our Cannon Park property assets in May 2025 and the Wellington property assets in January 2025, compared to the proceeds from the sale of our Culver City office in February 2024.</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Financing activities</w:t>
      </w:r>
    </w:p>
    <w:p>
      <w:pPr>
        <w:spacing w:after="0" w:line="1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2"/>
          <w:szCs w:val="12"/>
          <w:color w:val="auto"/>
        </w:rPr>
        <w:t>Cash used in financing activities for the nine months ended September 30, 2025, increased by $38.3 million, to $36.2 million compared to cash provided by financing activities of $2.1 million in the same prior year period. This was primarily due to the paydowns of our Westpac debt, Bank of America debt and NAB Bridge Facility in 2025 as discussed previously, compared to the NAB Bridge Facility draw in the same period of 2024.</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144145</wp:posOffset>
            </wp:positionV>
            <wp:extent cx="720026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3" w:name="page44"/>
    <w:bookmarkEnd w:id="43"/>
    <w:p>
      <w:pPr>
        <w:spacing w:after="0" w:line="282" w:lineRule="auto"/>
        <w:rPr>
          <w:sz w:val="20"/>
          <w:szCs w:val="20"/>
          <w:color w:val="auto"/>
        </w:rPr>
      </w:pPr>
      <w:r>
        <w:rPr>
          <w:rFonts w:ascii="Times New Roman" w:cs="Times New Roman" w:eastAsia="Times New Roman" w:hAnsi="Times New Roman"/>
          <w:sz w:val="12"/>
          <w:szCs w:val="12"/>
          <w:color w:val="auto"/>
        </w:rPr>
        <w:t>The table below presents the changes in our total available resources (cash and borrowings), debt-to-equity ratio, working capital, and other relevant information addressing our liquidity for the nine months ended September 30, 2025, and preceding four years: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8"/>
              </w:rPr>
              <w:t>As of and</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rPr>
              <w:t>for‎</w:t>
            </w:r>
          </w:p>
        </w:tc>
        <w:tc>
          <w:tcPr>
            <w:tcW w:w="64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the</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3"/>
          </w:tcPr>
          <w:p>
            <w:pPr>
              <w:jc w:val="center"/>
              <w:ind w:right="40"/>
              <w:spacing w:after="0" w:line="103" w:lineRule="exact"/>
              <w:rPr>
                <w:sz w:val="20"/>
                <w:szCs w:val="20"/>
                <w:color w:val="auto"/>
              </w:rPr>
            </w:pPr>
            <w:r>
              <w:rPr>
                <w:rFonts w:ascii="Times New Roman" w:cs="Times New Roman" w:eastAsia="Times New Roman" w:hAnsi="Times New Roman"/>
                <w:sz w:val="10"/>
                <w:szCs w:val="10"/>
                <w:b w:val="1"/>
                <w:bCs w:val="1"/>
                <w:color w:val="auto"/>
                <w:w w:val="97"/>
              </w:rPr>
              <w:t>9‎-Months</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Ended‎</w:t>
            </w:r>
          </w:p>
        </w:tc>
        <w:tc>
          <w:tcPr>
            <w:tcW w:w="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4"/>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180" w:type="dxa"/>
            <w:vAlign w:val="bottom"/>
            <w:gridSpan w:val="2"/>
          </w:tcPr>
          <w:p>
            <w:pPr>
              <w:spacing w:after="0" w:line="101" w:lineRule="exact"/>
              <w:rPr>
                <w:sz w:val="20"/>
                <w:szCs w:val="20"/>
                <w:color w:val="auto"/>
              </w:rPr>
            </w:pPr>
            <w:r>
              <w:rPr>
                <w:rFonts w:ascii="Times New Roman" w:cs="Times New Roman" w:eastAsia="Times New Roman" w:hAnsi="Times New Roman"/>
                <w:sz w:val="10"/>
                <w:szCs w:val="10"/>
                <w:i w:val="1"/>
                <w:iCs w:val="1"/>
                <w:color w:val="auto"/>
              </w:rPr>
              <w:t>($ in thousands)</w:t>
            </w:r>
          </w:p>
        </w:tc>
        <w:tc>
          <w:tcPr>
            <w:tcW w:w="1240" w:type="dxa"/>
            <w:vAlign w:val="bottom"/>
            <w:gridSpan w:val="3"/>
          </w:tcPr>
          <w:p>
            <w:pPr>
              <w:jc w:val="center"/>
              <w:ind w:right="40"/>
              <w:spacing w:after="0" w:line="101" w:lineRule="exact"/>
              <w:rPr>
                <w:sz w:val="20"/>
                <w:szCs w:val="20"/>
                <w:color w:val="auto"/>
              </w:rPr>
            </w:pPr>
            <w:r>
              <w:rPr>
                <w:rFonts w:ascii="Times New Roman" w:cs="Times New Roman" w:eastAsia="Times New Roman" w:hAnsi="Times New Roman"/>
                <w:sz w:val="10"/>
                <w:szCs w:val="10"/>
                <w:b w:val="1"/>
                <w:bCs w:val="1"/>
                <w:color w:val="auto"/>
              </w:rPr>
              <w:t>September 30, 2025</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ind w:right="430"/>
              <w:spacing w:after="0" w:line="101" w:lineRule="exact"/>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jc w:val="right"/>
              <w:ind w:right="430"/>
              <w:spacing w:after="0" w:line="101" w:lineRule="exact"/>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Pr>
          <w:p>
            <w:pPr>
              <w:spacing w:after="0"/>
              <w:rPr>
                <w:sz w:val="8"/>
                <w:szCs w:val="8"/>
                <w:color w:val="auto"/>
              </w:rPr>
            </w:pPr>
          </w:p>
        </w:tc>
        <w:tc>
          <w:tcPr>
            <w:tcW w:w="780" w:type="dxa"/>
            <w:vAlign w:val="bottom"/>
            <w:gridSpan w:val="2"/>
          </w:tcPr>
          <w:p>
            <w:pPr>
              <w:jc w:val="right"/>
              <w:ind w:right="60"/>
              <w:spacing w:after="0" w:line="101" w:lineRule="exact"/>
              <w:rPr>
                <w:sz w:val="20"/>
                <w:szCs w:val="20"/>
                <w:color w:val="auto"/>
              </w:rPr>
            </w:pPr>
            <w:r>
              <w:rPr>
                <w:rFonts w:ascii="Times New Roman" w:cs="Times New Roman" w:eastAsia="Times New Roman" w:hAnsi="Times New Roman"/>
                <w:sz w:val="10"/>
                <w:szCs w:val="10"/>
                <w:b w:val="1"/>
                <w:bCs w:val="1"/>
                <w:color w:val="auto"/>
              </w:rPr>
              <w:t>2022</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jc w:val="right"/>
              <w:ind w:right="410"/>
              <w:spacing w:after="0" w:line="101" w:lineRule="exact"/>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r>
        <w:trPr>
          <w:trHeight w:val="110"/>
        </w:trPr>
        <w:tc>
          <w:tcPr>
            <w:tcW w:w="5080" w:type="dxa"/>
            <w:vAlign w:val="bottom"/>
            <w:tcBorders>
              <w:top w:val="single" w:sz="8" w:color="auto"/>
            </w:tcBorders>
          </w:tcPr>
          <w:p>
            <w:pPr>
              <w:spacing w:after="0" w:line="111" w:lineRule="exact"/>
              <w:rPr>
                <w:sz w:val="20"/>
                <w:szCs w:val="20"/>
                <w:color w:val="auto"/>
              </w:rPr>
            </w:pPr>
            <w:r>
              <w:rPr>
                <w:rFonts w:ascii="Times New Roman" w:cs="Times New Roman" w:eastAsia="Times New Roman" w:hAnsi="Times New Roman"/>
                <w:sz w:val="10"/>
                <w:szCs w:val="10"/>
                <w:b w:val="1"/>
                <w:bCs w:val="1"/>
                <w:i w:val="1"/>
                <w:iCs w:val="1"/>
                <w:color w:val="auto"/>
              </w:rPr>
              <w:t>Total Resources (cash and borrowings)</w:t>
            </w:r>
          </w:p>
        </w:tc>
        <w:tc>
          <w:tcPr>
            <w:tcW w:w="1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5180" w:type="dxa"/>
            <w:vAlign w:val="bottom"/>
            <w:gridSpan w:val="2"/>
            <w:shd w:val="clear" w:color="auto" w:fill="CCEEFF"/>
          </w:tcPr>
          <w:p>
            <w:pPr>
              <w:ind w:left="60"/>
              <w:spacing w:after="0" w:line="112" w:lineRule="exact"/>
              <w:rPr>
                <w:sz w:val="20"/>
                <w:szCs w:val="20"/>
                <w:color w:val="auto"/>
              </w:rPr>
            </w:pPr>
            <w:r>
              <w:rPr>
                <w:rFonts w:ascii="Times New Roman" w:cs="Times New Roman" w:eastAsia="Times New Roman" w:hAnsi="Times New Roman"/>
                <w:sz w:val="10"/>
                <w:szCs w:val="10"/>
                <w:color w:val="auto"/>
              </w:rPr>
              <w:t>Cash and cash equivalents (unrestricted)</w:t>
            </w:r>
          </w:p>
        </w:tc>
        <w:tc>
          <w:tcPr>
            <w:tcW w:w="600" w:type="dxa"/>
            <w:vAlign w:val="bottom"/>
            <w:shd w:val="clear" w:color="auto" w:fill="CCEEFF"/>
          </w:tcPr>
          <w:p>
            <w:pPr>
              <w:jc w:val="right"/>
              <w:ind w:right="49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8,090</w:t>
            </w:r>
          </w:p>
        </w:tc>
        <w:tc>
          <w:tcPr>
            <w:tcW w:w="4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2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12,347</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12,906</w:t>
            </w:r>
          </w:p>
        </w:tc>
        <w:tc>
          <w:tcPr>
            <w:tcW w:w="4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6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29,947</w:t>
            </w:r>
          </w:p>
        </w:tc>
        <w:tc>
          <w:tcPr>
            <w:tcW w:w="4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2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83,251</w:t>
            </w:r>
          </w:p>
        </w:tc>
        <w:tc>
          <w:tcPr>
            <w:tcW w:w="0" w:type="dxa"/>
            <w:vAlign w:val="bottom"/>
          </w:tcPr>
          <w:p>
            <w:pPr>
              <w:spacing w:after="0"/>
              <w:rPr>
                <w:sz w:val="1"/>
                <w:szCs w:val="1"/>
                <w:color w:val="auto"/>
              </w:rPr>
            </w:pPr>
          </w:p>
        </w:tc>
      </w:tr>
      <w:tr>
        <w:trPr>
          <w:trHeight w:val="112"/>
        </w:trPr>
        <w:tc>
          <w:tcPr>
            <w:tcW w:w="5180" w:type="dxa"/>
            <w:vAlign w:val="bottom"/>
            <w:gridSpan w:val="2"/>
          </w:tcPr>
          <w:p>
            <w:pPr>
              <w:ind w:left="60"/>
              <w:spacing w:after="0" w:line="112" w:lineRule="exact"/>
              <w:rPr>
                <w:sz w:val="20"/>
                <w:szCs w:val="20"/>
                <w:color w:val="auto"/>
              </w:rPr>
            </w:pPr>
            <w:r>
              <w:rPr>
                <w:rFonts w:ascii="Times New Roman" w:cs="Times New Roman" w:eastAsia="Times New Roman" w:hAnsi="Times New Roman"/>
                <w:sz w:val="10"/>
                <w:szCs w:val="10"/>
                <w:color w:val="auto"/>
              </w:rPr>
              <w:t>Unused borrowing facility</w:t>
            </w:r>
          </w:p>
        </w:tc>
        <w:tc>
          <w:tcPr>
            <w:tcW w:w="60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2,359</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7,859</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7,859</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12,000</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12,000</w:t>
            </w:r>
          </w:p>
        </w:tc>
        <w:tc>
          <w:tcPr>
            <w:tcW w:w="0" w:type="dxa"/>
            <w:vAlign w:val="bottom"/>
          </w:tcPr>
          <w:p>
            <w:pPr>
              <w:spacing w:after="0"/>
              <w:rPr>
                <w:sz w:val="1"/>
                <w:szCs w:val="1"/>
                <w:color w:val="auto"/>
              </w:rPr>
            </w:pPr>
          </w:p>
        </w:tc>
      </w:tr>
      <w:tr>
        <w:trPr>
          <w:trHeight w:val="112"/>
        </w:trPr>
        <w:tc>
          <w:tcPr>
            <w:tcW w:w="5180" w:type="dxa"/>
            <w:vAlign w:val="bottom"/>
            <w:gridSpan w:val="2"/>
            <w:shd w:val="clear" w:color="auto" w:fill="CCEEFF"/>
          </w:tcPr>
          <w:p>
            <w:pPr>
              <w:ind w:left="220"/>
              <w:spacing w:after="0" w:line="112" w:lineRule="exact"/>
              <w:rPr>
                <w:sz w:val="20"/>
                <w:szCs w:val="20"/>
                <w:color w:val="auto"/>
              </w:rPr>
            </w:pPr>
            <w:r>
              <w:rPr>
                <w:rFonts w:ascii="Times New Roman" w:cs="Times New Roman" w:eastAsia="Times New Roman" w:hAnsi="Times New Roman"/>
                <w:sz w:val="10"/>
                <w:szCs w:val="10"/>
                <w:color w:val="auto"/>
              </w:rPr>
              <w:t>Restricted for capital projects</w:t>
            </w:r>
          </w:p>
        </w:tc>
        <w:tc>
          <w:tcPr>
            <w:tcW w:w="6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2,359</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7,859</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7,859</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12,000</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12,000</w:t>
            </w:r>
          </w:p>
        </w:tc>
        <w:tc>
          <w:tcPr>
            <w:tcW w:w="0" w:type="dxa"/>
            <w:vAlign w:val="bottom"/>
          </w:tcPr>
          <w:p>
            <w:pPr>
              <w:spacing w:after="0"/>
              <w:rPr>
                <w:sz w:val="1"/>
                <w:szCs w:val="1"/>
                <w:color w:val="auto"/>
              </w:rPr>
            </w:pPr>
          </w:p>
        </w:tc>
      </w:tr>
      <w:tr>
        <w:trPr>
          <w:trHeight w:val="112"/>
        </w:trPr>
        <w:tc>
          <w:tcPr>
            <w:tcW w:w="5180" w:type="dxa"/>
            <w:vAlign w:val="bottom"/>
            <w:gridSpan w:val="2"/>
          </w:tcPr>
          <w:p>
            <w:pPr>
              <w:ind w:left="220"/>
              <w:spacing w:after="0" w:line="112" w:lineRule="exact"/>
              <w:rPr>
                <w:sz w:val="20"/>
                <w:szCs w:val="20"/>
                <w:color w:val="auto"/>
              </w:rPr>
            </w:pPr>
            <w:r>
              <w:rPr>
                <w:rFonts w:ascii="Times New Roman" w:cs="Times New Roman" w:eastAsia="Times New Roman" w:hAnsi="Times New Roman"/>
                <w:sz w:val="10"/>
                <w:szCs w:val="10"/>
                <w:color w:val="auto"/>
              </w:rPr>
              <w:t>Unrestricted capacity</w:t>
            </w:r>
          </w:p>
        </w:tc>
        <w:tc>
          <w:tcPr>
            <w:tcW w:w="600" w:type="dxa"/>
            <w:vAlign w:val="bottom"/>
          </w:tcPr>
          <w:p>
            <w:pPr>
              <w:spacing w:after="0"/>
              <w:rPr>
                <w:sz w:val="9"/>
                <w:szCs w:val="9"/>
                <w:color w:val="auto"/>
              </w:rPr>
            </w:pPr>
          </w:p>
        </w:tc>
        <w:tc>
          <w:tcPr>
            <w:tcW w:w="640" w:type="dxa"/>
            <w:vAlign w:val="bottom"/>
            <w:gridSpan w:val="2"/>
          </w:tcPr>
          <w:p>
            <w:pPr>
              <w:jc w:val="right"/>
              <w:ind w:right="40"/>
              <w:spacing w:after="0" w:line="112"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9"/>
                <w:szCs w:val="9"/>
                <w:color w:val="auto"/>
              </w:rPr>
            </w:pPr>
          </w:p>
        </w:tc>
        <w:tc>
          <w:tcPr>
            <w:tcW w:w="920" w:type="dxa"/>
            <w:vAlign w:val="bottom"/>
            <w:gridSpan w:val="2"/>
          </w:tcPr>
          <w:p>
            <w:pPr>
              <w:jc w:val="right"/>
              <w:ind w:right="40"/>
              <w:spacing w:after="0" w:line="112"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gridSpan w:val="2"/>
          </w:tcPr>
          <w:p>
            <w:pPr>
              <w:jc w:val="right"/>
              <w:ind w:right="40"/>
              <w:spacing w:after="0" w:line="112"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2"/>
        </w:trPr>
        <w:tc>
          <w:tcPr>
            <w:tcW w:w="5180" w:type="dxa"/>
            <w:vAlign w:val="bottom"/>
            <w:gridSpan w:val="2"/>
            <w:shd w:val="clear" w:color="auto" w:fill="CCEEFF"/>
          </w:tcPr>
          <w:p>
            <w:pPr>
              <w:ind w:left="60"/>
              <w:spacing w:after="0" w:line="112" w:lineRule="exact"/>
              <w:rPr>
                <w:sz w:val="20"/>
                <w:szCs w:val="20"/>
                <w:color w:val="auto"/>
              </w:rPr>
            </w:pPr>
            <w:r>
              <w:rPr>
                <w:rFonts w:ascii="Times New Roman" w:cs="Times New Roman" w:eastAsia="Times New Roman" w:hAnsi="Times New Roman"/>
                <w:sz w:val="10"/>
                <w:szCs w:val="10"/>
                <w:color w:val="auto"/>
              </w:rPr>
              <w:t>Total resources at period end</w:t>
            </w:r>
          </w:p>
        </w:tc>
        <w:tc>
          <w:tcPr>
            <w:tcW w:w="6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10,449</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20,206</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20,765</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41,947</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95,251</w:t>
            </w:r>
          </w:p>
        </w:tc>
        <w:tc>
          <w:tcPr>
            <w:tcW w:w="0" w:type="dxa"/>
            <w:vAlign w:val="bottom"/>
          </w:tcPr>
          <w:p>
            <w:pPr>
              <w:spacing w:after="0"/>
              <w:rPr>
                <w:sz w:val="1"/>
                <w:szCs w:val="1"/>
                <w:color w:val="auto"/>
              </w:rPr>
            </w:pPr>
          </w:p>
        </w:tc>
      </w:tr>
      <w:tr>
        <w:trPr>
          <w:trHeight w:val="112"/>
        </w:trPr>
        <w:tc>
          <w:tcPr>
            <w:tcW w:w="5180" w:type="dxa"/>
            <w:vAlign w:val="bottom"/>
            <w:gridSpan w:val="2"/>
          </w:tcPr>
          <w:p>
            <w:pPr>
              <w:ind w:left="60"/>
              <w:spacing w:after="0" w:line="112" w:lineRule="exact"/>
              <w:rPr>
                <w:sz w:val="20"/>
                <w:szCs w:val="20"/>
                <w:color w:val="auto"/>
              </w:rPr>
            </w:pPr>
            <w:r>
              <w:rPr>
                <w:rFonts w:ascii="Times New Roman" w:cs="Times New Roman" w:eastAsia="Times New Roman" w:hAnsi="Times New Roman"/>
                <w:sz w:val="10"/>
                <w:szCs w:val="10"/>
                <w:color w:val="auto"/>
              </w:rPr>
              <w:t>Total unrestricted resources at period end</w:t>
            </w:r>
          </w:p>
        </w:tc>
        <w:tc>
          <w:tcPr>
            <w:tcW w:w="60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8,090</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12,347</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12,906</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29,947</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83,251</w:t>
            </w:r>
          </w:p>
        </w:tc>
        <w:tc>
          <w:tcPr>
            <w:tcW w:w="0" w:type="dxa"/>
            <w:vAlign w:val="bottom"/>
          </w:tcPr>
          <w:p>
            <w:pPr>
              <w:spacing w:after="0"/>
              <w:rPr>
                <w:sz w:val="1"/>
                <w:szCs w:val="1"/>
                <w:color w:val="auto"/>
              </w:rPr>
            </w:pPr>
          </w:p>
        </w:tc>
      </w:tr>
      <w:tr>
        <w:trPr>
          <w:trHeight w:val="112"/>
        </w:trPr>
        <w:tc>
          <w:tcPr>
            <w:tcW w:w="518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b w:val="1"/>
                <w:bCs w:val="1"/>
                <w:i w:val="1"/>
                <w:iCs w:val="1"/>
                <w:color w:val="auto"/>
              </w:rPr>
              <w:t>Debt-to-Equity Ratio</w:t>
            </w:r>
          </w:p>
        </w:tc>
        <w:tc>
          <w:tcPr>
            <w:tcW w:w="6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5180" w:type="dxa"/>
            <w:vAlign w:val="bottom"/>
            <w:gridSpan w:val="2"/>
          </w:tcPr>
          <w:p>
            <w:pPr>
              <w:ind w:left="60"/>
              <w:spacing w:after="0" w:line="112" w:lineRule="exact"/>
              <w:rPr>
                <w:sz w:val="20"/>
                <w:szCs w:val="20"/>
                <w:color w:val="auto"/>
              </w:rPr>
            </w:pPr>
            <w:r>
              <w:rPr>
                <w:rFonts w:ascii="Times New Roman" w:cs="Times New Roman" w:eastAsia="Times New Roman" w:hAnsi="Times New Roman"/>
                <w:sz w:val="10"/>
                <w:szCs w:val="10"/>
                <w:color w:val="auto"/>
              </w:rPr>
              <w:t>Total contractual facility</w:t>
            </w:r>
          </w:p>
        </w:tc>
        <w:tc>
          <w:tcPr>
            <w:tcW w:w="600" w:type="dxa"/>
            <w:vAlign w:val="bottom"/>
          </w:tcPr>
          <w:p>
            <w:pPr>
              <w:jc w:val="right"/>
              <w:ind w:right="49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174,997</w:t>
            </w:r>
          </w:p>
        </w:tc>
        <w:tc>
          <w:tcPr>
            <w:tcW w:w="40" w:type="dxa"/>
            <w:vAlign w:val="bottom"/>
          </w:tcPr>
          <w:p>
            <w:pPr>
              <w:spacing w:after="0"/>
              <w:rPr>
                <w:sz w:val="9"/>
                <w:szCs w:val="9"/>
                <w:color w:val="auto"/>
              </w:rPr>
            </w:pPr>
          </w:p>
        </w:tc>
        <w:tc>
          <w:tcPr>
            <w:tcW w:w="320" w:type="dxa"/>
            <w:vAlign w:val="bottom"/>
            <w:gridSpan w:val="2"/>
          </w:tcPr>
          <w:p>
            <w:pPr>
              <w:jc w:val="right"/>
              <w:ind w:right="2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210,572</w:t>
            </w:r>
          </w:p>
        </w:tc>
        <w:tc>
          <w:tcPr>
            <w:tcW w:w="100" w:type="dxa"/>
            <w:vAlign w:val="bottom"/>
          </w:tcPr>
          <w:p>
            <w:pPr>
              <w:spacing w:after="0"/>
              <w:rPr>
                <w:sz w:val="9"/>
                <w:szCs w:val="9"/>
                <w:color w:val="auto"/>
              </w:rPr>
            </w:pPr>
          </w:p>
        </w:tc>
        <w:tc>
          <w:tcPr>
            <w:tcW w:w="260" w:type="dxa"/>
            <w:vAlign w:val="bottom"/>
          </w:tcPr>
          <w:p>
            <w:pPr>
              <w:jc w:val="right"/>
              <w:ind w:right="195"/>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218,159</w:t>
            </w:r>
          </w:p>
        </w:tc>
        <w:tc>
          <w:tcPr>
            <w:tcW w:w="40" w:type="dxa"/>
            <w:vAlign w:val="bottom"/>
          </w:tcPr>
          <w:p>
            <w:pPr>
              <w:spacing w:after="0"/>
              <w:rPr>
                <w:sz w:val="9"/>
                <w:szCs w:val="9"/>
                <w:color w:val="auto"/>
              </w:rPr>
            </w:pPr>
          </w:p>
        </w:tc>
        <w:tc>
          <w:tcPr>
            <w:tcW w:w="780" w:type="dxa"/>
            <w:vAlign w:val="bottom"/>
            <w:gridSpan w:val="2"/>
          </w:tcPr>
          <w:p>
            <w:pPr>
              <w:jc w:val="right"/>
              <w:ind w:right="6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227,633</w:t>
            </w:r>
          </w:p>
        </w:tc>
        <w:tc>
          <w:tcPr>
            <w:tcW w:w="40" w:type="dxa"/>
            <w:vAlign w:val="bottom"/>
          </w:tcPr>
          <w:p>
            <w:pPr>
              <w:spacing w:after="0"/>
              <w:rPr>
                <w:sz w:val="9"/>
                <w:szCs w:val="9"/>
                <w:color w:val="auto"/>
              </w:rPr>
            </w:pPr>
          </w:p>
        </w:tc>
        <w:tc>
          <w:tcPr>
            <w:tcW w:w="320" w:type="dxa"/>
            <w:vAlign w:val="bottom"/>
            <w:gridSpan w:val="2"/>
          </w:tcPr>
          <w:p>
            <w:pPr>
              <w:jc w:val="right"/>
              <w:ind w:right="2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248,948</w:t>
            </w:r>
          </w:p>
        </w:tc>
        <w:tc>
          <w:tcPr>
            <w:tcW w:w="0" w:type="dxa"/>
            <w:vAlign w:val="bottom"/>
          </w:tcPr>
          <w:p>
            <w:pPr>
              <w:spacing w:after="0"/>
              <w:rPr>
                <w:sz w:val="1"/>
                <w:szCs w:val="1"/>
                <w:color w:val="auto"/>
              </w:rPr>
            </w:pPr>
          </w:p>
        </w:tc>
      </w:tr>
      <w:tr>
        <w:trPr>
          <w:trHeight w:val="112"/>
        </w:trPr>
        <w:tc>
          <w:tcPr>
            <w:tcW w:w="5180" w:type="dxa"/>
            <w:vAlign w:val="bottom"/>
            <w:gridSpan w:val="2"/>
            <w:shd w:val="clear" w:color="auto" w:fill="CCEEFF"/>
          </w:tcPr>
          <w:p>
            <w:pPr>
              <w:ind w:left="60"/>
              <w:spacing w:after="0" w:line="112" w:lineRule="exact"/>
              <w:rPr>
                <w:sz w:val="20"/>
                <w:szCs w:val="20"/>
                <w:color w:val="auto"/>
              </w:rPr>
            </w:pPr>
            <w:r>
              <w:rPr>
                <w:rFonts w:ascii="Times New Roman" w:cs="Times New Roman" w:eastAsia="Times New Roman" w:hAnsi="Times New Roman"/>
                <w:sz w:val="10"/>
                <w:szCs w:val="10"/>
                <w:color w:val="auto"/>
              </w:rPr>
              <w:t>Total debt (gross of deferred financing costs)</w:t>
            </w:r>
          </w:p>
        </w:tc>
        <w:tc>
          <w:tcPr>
            <w:tcW w:w="6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172,638</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202,713</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210,300</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215,633</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236,948</w:t>
            </w:r>
          </w:p>
        </w:tc>
        <w:tc>
          <w:tcPr>
            <w:tcW w:w="0" w:type="dxa"/>
            <w:vAlign w:val="bottom"/>
          </w:tcPr>
          <w:p>
            <w:pPr>
              <w:spacing w:after="0"/>
              <w:rPr>
                <w:sz w:val="1"/>
                <w:szCs w:val="1"/>
                <w:color w:val="auto"/>
              </w:rPr>
            </w:pPr>
          </w:p>
        </w:tc>
      </w:tr>
      <w:tr>
        <w:trPr>
          <w:trHeight w:val="112"/>
        </w:trPr>
        <w:tc>
          <w:tcPr>
            <w:tcW w:w="5180" w:type="dxa"/>
            <w:vAlign w:val="bottom"/>
            <w:gridSpan w:val="2"/>
          </w:tcPr>
          <w:p>
            <w:pPr>
              <w:ind w:left="220"/>
              <w:spacing w:after="0" w:line="112" w:lineRule="exact"/>
              <w:rPr>
                <w:sz w:val="20"/>
                <w:szCs w:val="20"/>
                <w:color w:val="auto"/>
              </w:rPr>
            </w:pPr>
            <w:r>
              <w:rPr>
                <w:rFonts w:ascii="Times New Roman" w:cs="Times New Roman" w:eastAsia="Times New Roman" w:hAnsi="Times New Roman"/>
                <w:sz w:val="10"/>
                <w:szCs w:val="10"/>
                <w:color w:val="auto"/>
              </w:rPr>
              <w:t>Current</w:t>
            </w:r>
          </w:p>
        </w:tc>
        <w:tc>
          <w:tcPr>
            <w:tcW w:w="60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16,451</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69,193</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35,070</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38,026</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12,060</w:t>
            </w:r>
          </w:p>
        </w:tc>
        <w:tc>
          <w:tcPr>
            <w:tcW w:w="0" w:type="dxa"/>
            <w:vAlign w:val="bottom"/>
          </w:tcPr>
          <w:p>
            <w:pPr>
              <w:spacing w:after="0"/>
              <w:rPr>
                <w:sz w:val="1"/>
                <w:szCs w:val="1"/>
                <w:color w:val="auto"/>
              </w:rPr>
            </w:pPr>
          </w:p>
        </w:tc>
      </w:tr>
      <w:tr>
        <w:trPr>
          <w:trHeight w:val="112"/>
        </w:trPr>
        <w:tc>
          <w:tcPr>
            <w:tcW w:w="5180" w:type="dxa"/>
            <w:vAlign w:val="bottom"/>
            <w:gridSpan w:val="2"/>
            <w:shd w:val="clear" w:color="auto" w:fill="CCEEFF"/>
          </w:tcPr>
          <w:p>
            <w:pPr>
              <w:ind w:left="220"/>
              <w:spacing w:after="0" w:line="112" w:lineRule="exact"/>
              <w:rPr>
                <w:sz w:val="20"/>
                <w:szCs w:val="20"/>
                <w:color w:val="auto"/>
              </w:rPr>
            </w:pPr>
            <w:r>
              <w:rPr>
                <w:rFonts w:ascii="Times New Roman" w:cs="Times New Roman" w:eastAsia="Times New Roman" w:hAnsi="Times New Roman"/>
                <w:sz w:val="10"/>
                <w:szCs w:val="10"/>
                <w:color w:val="auto"/>
              </w:rPr>
              <w:t>Non-current</w:t>
            </w:r>
          </w:p>
        </w:tc>
        <w:tc>
          <w:tcPr>
            <w:tcW w:w="6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156,187</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133,520</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175,230</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177,607</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224,888</w:t>
            </w:r>
          </w:p>
        </w:tc>
        <w:tc>
          <w:tcPr>
            <w:tcW w:w="0" w:type="dxa"/>
            <w:vAlign w:val="bottom"/>
          </w:tcPr>
          <w:p>
            <w:pPr>
              <w:spacing w:after="0"/>
              <w:rPr>
                <w:sz w:val="1"/>
                <w:szCs w:val="1"/>
                <w:color w:val="auto"/>
              </w:rPr>
            </w:pPr>
          </w:p>
        </w:tc>
      </w:tr>
      <w:tr>
        <w:trPr>
          <w:trHeight w:val="112"/>
        </w:trPr>
        <w:tc>
          <w:tcPr>
            <w:tcW w:w="5180" w:type="dxa"/>
            <w:vAlign w:val="bottom"/>
            <w:gridSpan w:val="2"/>
          </w:tcPr>
          <w:p>
            <w:pPr>
              <w:ind w:left="220"/>
              <w:spacing w:after="0" w:line="112" w:lineRule="exact"/>
              <w:rPr>
                <w:sz w:val="20"/>
                <w:szCs w:val="20"/>
                <w:color w:val="auto"/>
              </w:rPr>
            </w:pPr>
            <w:r>
              <w:rPr>
                <w:rFonts w:ascii="Times New Roman" w:cs="Times New Roman" w:eastAsia="Times New Roman" w:hAnsi="Times New Roman"/>
                <w:sz w:val="10"/>
                <w:szCs w:val="10"/>
                <w:color w:val="auto"/>
              </w:rPr>
              <w:t>Finance lease liabilities</w:t>
            </w:r>
          </w:p>
        </w:tc>
        <w:tc>
          <w:tcPr>
            <w:tcW w:w="60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11</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43</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83</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28</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68</w:t>
            </w:r>
          </w:p>
        </w:tc>
        <w:tc>
          <w:tcPr>
            <w:tcW w:w="0" w:type="dxa"/>
            <w:vAlign w:val="bottom"/>
          </w:tcPr>
          <w:p>
            <w:pPr>
              <w:spacing w:after="0"/>
              <w:rPr>
                <w:sz w:val="1"/>
                <w:szCs w:val="1"/>
                <w:color w:val="auto"/>
              </w:rPr>
            </w:pPr>
          </w:p>
        </w:tc>
      </w:tr>
      <w:tr>
        <w:trPr>
          <w:trHeight w:val="112"/>
        </w:trPr>
        <w:tc>
          <w:tcPr>
            <w:tcW w:w="5180" w:type="dxa"/>
            <w:vAlign w:val="bottom"/>
            <w:gridSpan w:val="2"/>
            <w:shd w:val="clear" w:color="auto" w:fill="CCEEFF"/>
          </w:tcPr>
          <w:p>
            <w:pPr>
              <w:ind w:left="60"/>
              <w:spacing w:after="0" w:line="112" w:lineRule="exact"/>
              <w:rPr>
                <w:sz w:val="20"/>
                <w:szCs w:val="20"/>
                <w:color w:val="auto"/>
              </w:rPr>
            </w:pPr>
            <w:r>
              <w:rPr>
                <w:rFonts w:ascii="Times New Roman" w:cs="Times New Roman" w:eastAsia="Times New Roman" w:hAnsi="Times New Roman"/>
                <w:sz w:val="10"/>
                <w:szCs w:val="10"/>
                <w:color w:val="auto"/>
              </w:rPr>
              <w:t>Total book equity</w:t>
            </w:r>
          </w:p>
        </w:tc>
        <w:tc>
          <w:tcPr>
            <w:tcW w:w="6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(13,012)</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(4,790)</w:t>
            </w: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32,996</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63,279</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105,060</w:t>
            </w:r>
          </w:p>
        </w:tc>
        <w:tc>
          <w:tcPr>
            <w:tcW w:w="0" w:type="dxa"/>
            <w:vAlign w:val="bottom"/>
          </w:tcPr>
          <w:p>
            <w:pPr>
              <w:spacing w:after="0"/>
              <w:rPr>
                <w:sz w:val="1"/>
                <w:szCs w:val="1"/>
                <w:color w:val="auto"/>
              </w:rPr>
            </w:pPr>
          </w:p>
        </w:tc>
      </w:tr>
      <w:tr>
        <w:trPr>
          <w:trHeight w:val="112"/>
        </w:trPr>
        <w:tc>
          <w:tcPr>
            <w:tcW w:w="5180" w:type="dxa"/>
            <w:vAlign w:val="bottom"/>
            <w:gridSpan w:val="2"/>
          </w:tcPr>
          <w:p>
            <w:pPr>
              <w:ind w:left="60"/>
              <w:spacing w:after="0" w:line="112" w:lineRule="exact"/>
              <w:rPr>
                <w:sz w:val="20"/>
                <w:szCs w:val="20"/>
                <w:color w:val="auto"/>
              </w:rPr>
            </w:pPr>
            <w:r>
              <w:rPr>
                <w:rFonts w:ascii="Times New Roman" w:cs="Times New Roman" w:eastAsia="Times New Roman" w:hAnsi="Times New Roman"/>
                <w:sz w:val="10"/>
                <w:szCs w:val="10"/>
                <w:color w:val="auto"/>
              </w:rPr>
              <w:t>Debt-to-equity ratio</w:t>
            </w:r>
          </w:p>
        </w:tc>
        <w:tc>
          <w:tcPr>
            <w:tcW w:w="60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(13.27)</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(42.32)</w:t>
            </w:r>
          </w:p>
        </w:tc>
        <w:tc>
          <w:tcPr>
            <w:tcW w:w="260" w:type="dxa"/>
            <w:vAlign w:val="bottom"/>
          </w:tcPr>
          <w:p>
            <w:pPr>
              <w:spacing w:after="0"/>
              <w:rPr>
                <w:sz w:val="9"/>
                <w:szCs w:val="9"/>
                <w:color w:val="auto"/>
              </w:rPr>
            </w:pPr>
          </w:p>
        </w:tc>
        <w:tc>
          <w:tcPr>
            <w:tcW w:w="8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6.37</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3.41</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2.26</w:t>
            </w:r>
          </w:p>
        </w:tc>
        <w:tc>
          <w:tcPr>
            <w:tcW w:w="0" w:type="dxa"/>
            <w:vAlign w:val="bottom"/>
          </w:tcPr>
          <w:p>
            <w:pPr>
              <w:spacing w:after="0"/>
              <w:rPr>
                <w:sz w:val="1"/>
                <w:szCs w:val="1"/>
                <w:color w:val="auto"/>
              </w:rPr>
            </w:pPr>
          </w:p>
        </w:tc>
      </w:tr>
      <w:tr>
        <w:trPr>
          <w:trHeight w:val="112"/>
        </w:trPr>
        <w:tc>
          <w:tcPr>
            <w:tcW w:w="518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b w:val="1"/>
                <w:bCs w:val="1"/>
                <w:i w:val="1"/>
                <w:iCs w:val="1"/>
                <w:color w:val="auto"/>
              </w:rPr>
              <w:t>Changes in Working Capital</w:t>
            </w:r>
          </w:p>
        </w:tc>
        <w:tc>
          <w:tcPr>
            <w:tcW w:w="6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51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0"/>
                <w:szCs w:val="10"/>
                <w:color w:val="auto"/>
              </w:rPr>
              <w:t>Working capital (deficit)</w:t>
            </w:r>
            <w:r>
              <w:rPr>
                <w:rFonts w:ascii="Times New Roman" w:cs="Times New Roman" w:eastAsia="Times New Roman" w:hAnsi="Times New Roman"/>
                <w:sz w:val="16"/>
                <w:szCs w:val="16"/>
                <w:color w:val="auto"/>
                <w:vertAlign w:val="superscript"/>
              </w:rPr>
              <w:t>(1)</w:t>
            </w:r>
          </w:p>
        </w:tc>
        <w:tc>
          <w:tcPr>
            <w:tcW w:w="600" w:type="dxa"/>
            <w:vAlign w:val="bottom"/>
          </w:tcPr>
          <w:p>
            <w:pPr>
              <w:jc w:val="right"/>
              <w:ind w:right="49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(92,684)</w:t>
            </w:r>
          </w:p>
        </w:tc>
        <w:tc>
          <w:tcPr>
            <w:tcW w:w="40" w:type="dxa"/>
            <w:vAlign w:val="bottom"/>
          </w:tcPr>
          <w:p>
            <w:pPr>
              <w:spacing w:after="0"/>
              <w:rPr>
                <w:sz w:val="12"/>
                <w:szCs w:val="12"/>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(104,584)</w:t>
            </w:r>
          </w:p>
        </w:tc>
        <w:tc>
          <w:tcPr>
            <w:tcW w:w="260" w:type="dxa"/>
            <w:vAlign w:val="bottom"/>
          </w:tcPr>
          <w:p>
            <w:pPr>
              <w:jc w:val="right"/>
              <w:ind w:right="195"/>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(88,373)</w:t>
            </w:r>
          </w:p>
        </w:tc>
        <w:tc>
          <w:tcPr>
            <w:tcW w:w="780" w:type="dxa"/>
            <w:vAlign w:val="bottom"/>
            <w:gridSpan w:val="2"/>
          </w:tcPr>
          <w:p>
            <w:pPr>
              <w:jc w:val="right"/>
              <w:ind w:right="68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(74,152)</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(6,673)</w:t>
            </w:r>
          </w:p>
        </w:tc>
        <w:tc>
          <w:tcPr>
            <w:tcW w:w="0" w:type="dxa"/>
            <w:vAlign w:val="bottom"/>
          </w:tcPr>
          <w:p>
            <w:pPr>
              <w:spacing w:after="0"/>
              <w:rPr>
                <w:sz w:val="1"/>
                <w:szCs w:val="1"/>
                <w:color w:val="auto"/>
              </w:rPr>
            </w:pPr>
          </w:p>
        </w:tc>
      </w:tr>
      <w:tr>
        <w:trPr>
          <w:trHeight w:val="112"/>
        </w:trPr>
        <w:tc>
          <w:tcPr>
            <w:tcW w:w="5180" w:type="dxa"/>
            <w:vAlign w:val="bottom"/>
            <w:gridSpan w:val="2"/>
            <w:shd w:val="clear" w:color="auto" w:fill="CCEEFF"/>
          </w:tcPr>
          <w:p>
            <w:pPr>
              <w:ind w:left="60"/>
              <w:spacing w:after="0" w:line="112" w:lineRule="exact"/>
              <w:rPr>
                <w:sz w:val="20"/>
                <w:szCs w:val="20"/>
                <w:color w:val="auto"/>
              </w:rPr>
            </w:pPr>
            <w:r>
              <w:rPr>
                <w:rFonts w:ascii="Times New Roman" w:cs="Times New Roman" w:eastAsia="Times New Roman" w:hAnsi="Times New Roman"/>
                <w:sz w:val="10"/>
                <w:szCs w:val="10"/>
                <w:color w:val="auto"/>
              </w:rPr>
              <w:t>Current ratio</w:t>
            </w:r>
          </w:p>
        </w:tc>
        <w:tc>
          <w:tcPr>
            <w:tcW w:w="6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0.17</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0.35</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0.30</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0.39</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0.94</w:t>
            </w:r>
          </w:p>
        </w:tc>
        <w:tc>
          <w:tcPr>
            <w:tcW w:w="0" w:type="dxa"/>
            <w:vAlign w:val="bottom"/>
          </w:tcPr>
          <w:p>
            <w:pPr>
              <w:spacing w:after="0"/>
              <w:rPr>
                <w:sz w:val="1"/>
                <w:szCs w:val="1"/>
                <w:color w:val="auto"/>
              </w:rPr>
            </w:pPr>
          </w:p>
        </w:tc>
      </w:tr>
      <w:tr>
        <w:trPr>
          <w:trHeight w:val="132"/>
        </w:trPr>
        <w:tc>
          <w:tcPr>
            <w:tcW w:w="51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i w:val="1"/>
                <w:iCs w:val="1"/>
                <w:color w:val="auto"/>
              </w:rPr>
              <w:t>Capital Expenditures (including acquisitions)</w:t>
            </w:r>
          </w:p>
        </w:tc>
        <w:tc>
          <w:tcPr>
            <w:tcW w:w="600" w:type="dxa"/>
            <w:vAlign w:val="bottom"/>
          </w:tcPr>
          <w:p>
            <w:pPr>
              <w:jc w:val="right"/>
              <w:ind w:right="49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1,176</w:t>
            </w:r>
          </w:p>
        </w:tc>
        <w:tc>
          <w:tcPr>
            <w:tcW w:w="40" w:type="dxa"/>
            <w:vAlign w:val="bottom"/>
          </w:tcPr>
          <w:p>
            <w:pPr>
              <w:spacing w:after="0"/>
              <w:rPr>
                <w:sz w:val="11"/>
                <w:szCs w:val="11"/>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2,028</w:t>
            </w:r>
          </w:p>
        </w:tc>
        <w:tc>
          <w:tcPr>
            <w:tcW w:w="100" w:type="dxa"/>
            <w:vAlign w:val="bottom"/>
          </w:tcPr>
          <w:p>
            <w:pPr>
              <w:spacing w:after="0"/>
              <w:rPr>
                <w:sz w:val="11"/>
                <w:szCs w:val="11"/>
                <w:color w:val="auto"/>
              </w:rPr>
            </w:pPr>
          </w:p>
        </w:tc>
        <w:tc>
          <w:tcPr>
            <w:tcW w:w="260" w:type="dxa"/>
            <w:vAlign w:val="bottom"/>
          </w:tcPr>
          <w:p>
            <w:pPr>
              <w:jc w:val="right"/>
              <w:ind w:right="195"/>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4,711</w:t>
            </w:r>
          </w:p>
        </w:tc>
        <w:tc>
          <w:tcPr>
            <w:tcW w:w="40" w:type="dxa"/>
            <w:vAlign w:val="bottom"/>
          </w:tcPr>
          <w:p>
            <w:pPr>
              <w:spacing w:after="0"/>
              <w:rPr>
                <w:sz w:val="11"/>
                <w:szCs w:val="11"/>
                <w:color w:val="auto"/>
              </w:rPr>
            </w:pPr>
          </w:p>
        </w:tc>
        <w:tc>
          <w:tcPr>
            <w:tcW w:w="780" w:type="dxa"/>
            <w:vAlign w:val="bottom"/>
            <w:gridSpan w:val="2"/>
          </w:tcPr>
          <w:p>
            <w:pPr>
              <w:jc w:val="right"/>
              <w:ind w:right="68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9,780</w:t>
            </w:r>
          </w:p>
        </w:tc>
        <w:tc>
          <w:tcPr>
            <w:tcW w:w="40" w:type="dxa"/>
            <w:vAlign w:val="bottom"/>
          </w:tcPr>
          <w:p>
            <w:pPr>
              <w:spacing w:after="0"/>
              <w:rPr>
                <w:sz w:val="11"/>
                <w:szCs w:val="11"/>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14,428</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440" w:hanging="222"/>
        <w:spacing w:after="0"/>
        <w:tabs>
          <w:tab w:leader="none" w:pos="440" w:val="left"/>
        </w:tabs>
        <w:numPr>
          <w:ilvl w:val="0"/>
          <w:numId w:val="2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Our working capital is reported as a deficit, as we receive revenue from our cinema business ahead of the time that we have to pay our associated liabilities. We use the money we receive to pay down our borrowings in the first instance.</w:t>
      </w:r>
    </w:p>
    <w:p>
      <w:pPr>
        <w:spacing w:after="0" w:line="12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2"/>
          <w:szCs w:val="12"/>
          <w:color w:val="auto"/>
        </w:rPr>
        <w:t>As of September 30, 2025, we had $8.1 million in unrestricted cash and cash equivalents compared to (i) 12.3 million on December 31, 2024 and (ii) $5.9 million on March 31, 2025. On September 30, 2025, our total outstanding borrowings were $172.6 million compared to $202.7 million on December 31, 2024.</w:t>
      </w:r>
    </w:p>
    <w:p>
      <w:pPr>
        <w:jc w:val="both"/>
        <w:ind w:right="20"/>
        <w:spacing w:after="0" w:line="244" w:lineRule="auto"/>
        <w:rPr>
          <w:sz w:val="20"/>
          <w:szCs w:val="20"/>
          <w:color w:val="auto"/>
        </w:rPr>
      </w:pPr>
      <w:r>
        <w:rPr>
          <w:rFonts w:ascii="Times New Roman" w:cs="Times New Roman" w:eastAsia="Times New Roman" w:hAnsi="Times New Roman"/>
          <w:sz w:val="12"/>
          <w:szCs w:val="12"/>
          <w:color w:val="auto"/>
        </w:rPr>
        <w:t>We manage our cash, investments, and capital structure to meet the short-term and long-term obligations of our business, while maintaining financial flexibility and liquidity. We forecast, analyze, and monitor our cash flows to enable investment and financing within the overall constraints of our financial strategy. In the past, we used cash generated from operations and other excess cash to the extent not needed for any capital expenditures, to pay down our loans and credit facilities providing us some flexibility on our available loan facilities for future use and thereby, reducing interest charges.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CONTRACTUAL OBLIGATIONS, COMMITMENTS AND CONTINGENCIES</w:t>
      </w:r>
    </w:p>
    <w:p>
      <w:pPr>
        <w:spacing w:after="0" w:line="1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2"/>
          <w:szCs w:val="12"/>
          <w:color w:val="auto"/>
        </w:rPr>
        <w:t>The following table provides information with respect to the maturities and scheduled principal repayments of our recorded contractual obligations and certain of our commitments and contingencies, either recorded or off-balance sheet, as of September 30, 2025:</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0"/>
                <w:szCs w:val="10"/>
                <w:b w:val="1"/>
                <w:bCs w:val="1"/>
                <w:color w:val="auto"/>
              </w:rPr>
              <w:t>2025</w:t>
            </w: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0"/>
                <w:szCs w:val="10"/>
                <w:b w:val="1"/>
                <w:bCs w:val="1"/>
                <w:color w:val="auto"/>
              </w:rPr>
              <w:t>2027</w:t>
            </w: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0"/>
                <w:szCs w:val="10"/>
                <w:b w:val="1"/>
                <w:bCs w:val="1"/>
                <w:color w:val="auto"/>
              </w:rPr>
              <w:t>2028</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0"/>
                <w:szCs w:val="10"/>
                <w:b w:val="1"/>
                <w:bCs w:val="1"/>
                <w:color w:val="auto"/>
              </w:rPr>
              <w:t>2029</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0"/>
                <w:szCs w:val="10"/>
                <w:b w:val="1"/>
                <w:bCs w:val="1"/>
                <w:color w:val="auto"/>
              </w:rPr>
              <w:t>Thereafter</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38"/>
        </w:trPr>
        <w:tc>
          <w:tcPr>
            <w:tcW w:w="30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0"/>
                <w:szCs w:val="10"/>
                <w:color w:val="auto"/>
              </w:rPr>
              <w:t>Debt</w:t>
            </w:r>
            <w:r>
              <w:rPr>
                <w:rFonts w:ascii="Times New Roman" w:cs="Times New Roman" w:eastAsia="Times New Roman" w:hAnsi="Times New Roman"/>
                <w:sz w:val="16"/>
                <w:szCs w:val="16"/>
                <w:color w:val="auto"/>
                <w:vertAlign w:val="superscript"/>
              </w:rPr>
              <w:t>(1)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23,222</w:t>
            </w:r>
          </w:p>
        </w:tc>
        <w:tc>
          <w:tcPr>
            <w:tcW w:w="2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121,503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144,725</w:t>
            </w:r>
          </w:p>
        </w:tc>
      </w:tr>
      <w:tr>
        <w:trPr>
          <w:trHeight w:val="112"/>
        </w:trPr>
        <w:tc>
          <w:tcPr>
            <w:tcW w:w="318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color w:val="auto"/>
              </w:rPr>
              <w:t>Operating leases, including imputed interest</w:t>
            </w:r>
          </w:p>
        </w:tc>
        <w:tc>
          <w:tcPr>
            <w:tcW w:w="260" w:type="dxa"/>
            <w:vAlign w:val="bottom"/>
          </w:tcPr>
          <w:p>
            <w:pPr>
              <w:spacing w:after="0"/>
              <w:rPr>
                <w:sz w:val="9"/>
                <w:szCs w:val="9"/>
                <w:color w:val="auto"/>
              </w:rPr>
            </w:pPr>
          </w:p>
        </w:tc>
        <w:tc>
          <w:tcPr>
            <w:tcW w:w="900" w:type="dxa"/>
            <w:vAlign w:val="bottom"/>
            <w:gridSpan w:val="2"/>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7,341</w:t>
            </w: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27,756</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gridSpan w:val="2"/>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25,920</w:t>
            </w: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24,836</w:t>
            </w:r>
          </w:p>
        </w:tc>
        <w:tc>
          <w:tcPr>
            <w:tcW w:w="240" w:type="dxa"/>
            <w:vAlign w:val="bottom"/>
          </w:tcPr>
          <w:p>
            <w:pPr>
              <w:spacing w:after="0"/>
              <w:rPr>
                <w:sz w:val="9"/>
                <w:szCs w:val="9"/>
                <w:color w:val="auto"/>
              </w:rPr>
            </w:pPr>
          </w:p>
        </w:tc>
        <w:tc>
          <w:tcPr>
            <w:tcW w:w="94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23,407</w:t>
            </w:r>
          </w:p>
        </w:tc>
        <w:tc>
          <w:tcPr>
            <w:tcW w:w="180" w:type="dxa"/>
            <w:vAlign w:val="bottom"/>
          </w:tcPr>
          <w:p>
            <w:pPr>
              <w:spacing w:after="0"/>
              <w:rPr>
                <w:sz w:val="9"/>
                <w:szCs w:val="9"/>
                <w:color w:val="auto"/>
              </w:rPr>
            </w:pPr>
          </w:p>
        </w:tc>
        <w:tc>
          <w:tcPr>
            <w:tcW w:w="98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126,347</w:t>
            </w:r>
          </w:p>
        </w:tc>
        <w:tc>
          <w:tcPr>
            <w:tcW w:w="220" w:type="dxa"/>
            <w:vAlign w:val="bottom"/>
          </w:tcPr>
          <w:p>
            <w:pPr>
              <w:spacing w:after="0"/>
              <w:rPr>
                <w:sz w:val="9"/>
                <w:szCs w:val="9"/>
                <w:color w:val="auto"/>
              </w:rPr>
            </w:pPr>
          </w:p>
        </w:tc>
        <w:tc>
          <w:tcPr>
            <w:tcW w:w="7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235,607</w:t>
            </w:r>
          </w:p>
        </w:tc>
      </w:tr>
      <w:tr>
        <w:trPr>
          <w:trHeight w:val="112"/>
        </w:trPr>
        <w:tc>
          <w:tcPr>
            <w:tcW w:w="318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Finance leases, including imputed interest</w:t>
            </w:r>
          </w:p>
        </w:tc>
        <w:tc>
          <w:tcPr>
            <w:tcW w:w="26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11</w:t>
            </w: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11</w:t>
            </w:r>
          </w:p>
        </w:tc>
      </w:tr>
      <w:tr>
        <w:trPr>
          <w:trHeight w:val="140"/>
        </w:trPr>
        <w:tc>
          <w:tcPr>
            <w:tcW w:w="3180" w:type="dxa"/>
            <w:vAlign w:val="bottom"/>
            <w:gridSpan w:val="2"/>
          </w:tcPr>
          <w:p>
            <w:pPr>
              <w:spacing w:after="0" w:line="140" w:lineRule="exact"/>
              <w:rPr>
                <w:sz w:val="20"/>
                <w:szCs w:val="20"/>
                <w:color w:val="auto"/>
              </w:rPr>
            </w:pPr>
            <w:r>
              <w:rPr>
                <w:rFonts w:ascii="Times New Roman" w:cs="Times New Roman" w:eastAsia="Times New Roman" w:hAnsi="Times New Roman"/>
                <w:sz w:val="10"/>
                <w:szCs w:val="10"/>
                <w:color w:val="auto"/>
              </w:rPr>
              <w:t>Subordinated debt</w:t>
            </w:r>
            <w:r>
              <w:rPr>
                <w:rFonts w:ascii="Times New Roman" w:cs="Times New Roman" w:eastAsia="Times New Roman" w:hAnsi="Times New Roman"/>
                <w:sz w:val="16"/>
                <w:szCs w:val="16"/>
                <w:color w:val="auto"/>
                <w:vertAlign w:val="superscript"/>
              </w:rPr>
              <w:t>(1)</w:t>
            </w:r>
          </w:p>
        </w:tc>
        <w:tc>
          <w:tcPr>
            <w:tcW w:w="26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27,913</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27,913</w:t>
            </w:r>
          </w:p>
        </w:tc>
      </w:tr>
      <w:tr>
        <w:trPr>
          <w:trHeight w:val="112"/>
        </w:trPr>
        <w:tc>
          <w:tcPr>
            <w:tcW w:w="318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Pension liability</w:t>
            </w:r>
          </w:p>
        </w:tc>
        <w:tc>
          <w:tcPr>
            <w:tcW w:w="26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137</w:t>
            </w: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576</w:t>
            </w:r>
          </w:p>
        </w:tc>
        <w:tc>
          <w:tcPr>
            <w:tcW w:w="24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607</w:t>
            </w: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639</w:t>
            </w:r>
          </w:p>
        </w:tc>
        <w:tc>
          <w:tcPr>
            <w:tcW w:w="24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445</w:t>
            </w:r>
          </w:p>
        </w:tc>
        <w:tc>
          <w:tcPr>
            <w:tcW w:w="18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2,404</w:t>
            </w:r>
          </w:p>
        </w:tc>
      </w:tr>
      <w:tr>
        <w:trPr>
          <w:trHeight w:val="112"/>
        </w:trPr>
        <w:tc>
          <w:tcPr>
            <w:tcW w:w="318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color w:val="auto"/>
              </w:rPr>
              <w:t>Interest on pension liability</w:t>
            </w:r>
          </w:p>
        </w:tc>
        <w:tc>
          <w:tcPr>
            <w:tcW w:w="260" w:type="dxa"/>
            <w:vAlign w:val="bottom"/>
          </w:tcPr>
          <w:p>
            <w:pPr>
              <w:spacing w:after="0"/>
              <w:rPr>
                <w:sz w:val="9"/>
                <w:szCs w:val="9"/>
                <w:color w:val="auto"/>
              </w:rPr>
            </w:pPr>
          </w:p>
        </w:tc>
        <w:tc>
          <w:tcPr>
            <w:tcW w:w="900" w:type="dxa"/>
            <w:vAlign w:val="bottom"/>
            <w:gridSpan w:val="2"/>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34</w:t>
            </w: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108</w:t>
            </w:r>
          </w:p>
        </w:tc>
        <w:tc>
          <w:tcPr>
            <w:tcW w:w="240" w:type="dxa"/>
            <w:vAlign w:val="bottom"/>
          </w:tcPr>
          <w:p>
            <w:pPr>
              <w:spacing w:after="0"/>
              <w:rPr>
                <w:sz w:val="9"/>
                <w:szCs w:val="9"/>
                <w:color w:val="auto"/>
              </w:rPr>
            </w:pPr>
          </w:p>
        </w:tc>
        <w:tc>
          <w:tcPr>
            <w:tcW w:w="900" w:type="dxa"/>
            <w:vAlign w:val="bottom"/>
            <w:gridSpan w:val="2"/>
          </w:tcPr>
          <w:p>
            <w:pPr>
              <w:jc w:val="right"/>
              <w:ind w:right="60"/>
              <w:spacing w:after="0" w:line="112" w:lineRule="exact"/>
              <w:rPr>
                <w:sz w:val="20"/>
                <w:szCs w:val="20"/>
                <w:color w:val="auto"/>
              </w:rPr>
            </w:pPr>
            <w:r>
              <w:rPr>
                <w:rFonts w:ascii="Times New Roman" w:cs="Times New Roman" w:eastAsia="Times New Roman" w:hAnsi="Times New Roman"/>
                <w:sz w:val="10"/>
                <w:szCs w:val="10"/>
                <w:color w:val="auto"/>
              </w:rPr>
              <w:t>77</w:t>
            </w: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45</w:t>
            </w:r>
          </w:p>
        </w:tc>
        <w:tc>
          <w:tcPr>
            <w:tcW w:w="240" w:type="dxa"/>
            <w:vAlign w:val="bottom"/>
          </w:tcPr>
          <w:p>
            <w:pPr>
              <w:spacing w:after="0"/>
              <w:rPr>
                <w:sz w:val="9"/>
                <w:szCs w:val="9"/>
                <w:color w:val="auto"/>
              </w:rPr>
            </w:pPr>
          </w:p>
        </w:tc>
        <w:tc>
          <w:tcPr>
            <w:tcW w:w="94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0"/>
                <w:szCs w:val="10"/>
                <w:color w:val="auto"/>
              </w:rPr>
              <w:t>11</w:t>
            </w:r>
          </w:p>
        </w:tc>
        <w:tc>
          <w:tcPr>
            <w:tcW w:w="180" w:type="dxa"/>
            <w:vAlign w:val="bottom"/>
          </w:tcPr>
          <w:p>
            <w:pPr>
              <w:spacing w:after="0"/>
              <w:rPr>
                <w:sz w:val="9"/>
                <w:szCs w:val="9"/>
                <w:color w:val="auto"/>
              </w:rPr>
            </w:pPr>
          </w:p>
        </w:tc>
        <w:tc>
          <w:tcPr>
            <w:tcW w:w="98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7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275</w:t>
            </w:r>
          </w:p>
        </w:tc>
      </w:tr>
      <w:tr>
        <w:trPr>
          <w:trHeight w:val="140"/>
        </w:trPr>
        <w:tc>
          <w:tcPr>
            <w:tcW w:w="318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0"/>
                <w:szCs w:val="10"/>
                <w:color w:val="auto"/>
              </w:rPr>
              <w:t xml:space="preserve">Estimated interest on debt </w:t>
            </w:r>
            <w:r>
              <w:rPr>
                <w:rFonts w:ascii="Times New Roman" w:cs="Times New Roman" w:eastAsia="Times New Roman" w:hAnsi="Times New Roman"/>
                <w:sz w:val="16"/>
                <w:szCs w:val="16"/>
                <w:color w:val="auto"/>
                <w:vertAlign w:val="superscript"/>
              </w:rPr>
              <w:t>(2)</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3,373</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9,798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1,186</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14,357</w:t>
            </w:r>
          </w:p>
        </w:tc>
      </w:tr>
      <w:tr>
        <w:trPr>
          <w:trHeight w:val="140"/>
        </w:trPr>
        <w:tc>
          <w:tcPr>
            <w:tcW w:w="3180" w:type="dxa"/>
            <w:vAlign w:val="bottom"/>
            <w:gridSpan w:val="2"/>
          </w:tcPr>
          <w:p>
            <w:pPr>
              <w:spacing w:after="0" w:line="140" w:lineRule="exact"/>
              <w:rPr>
                <w:sz w:val="20"/>
                <w:szCs w:val="20"/>
                <w:color w:val="auto"/>
              </w:rPr>
            </w:pPr>
            <w:r>
              <w:rPr>
                <w:rFonts w:ascii="Times New Roman" w:cs="Times New Roman" w:eastAsia="Times New Roman" w:hAnsi="Times New Roman"/>
                <w:sz w:val="10"/>
                <w:szCs w:val="10"/>
                <w:color w:val="auto"/>
              </w:rPr>
              <w:t>Village East purchase option</w:t>
            </w:r>
            <w:r>
              <w:rPr>
                <w:rFonts w:ascii="Times New Roman" w:cs="Times New Roman" w:eastAsia="Times New Roman" w:hAnsi="Times New Roman"/>
                <w:sz w:val="16"/>
                <w:szCs w:val="16"/>
                <w:color w:val="auto"/>
                <w:vertAlign w:val="superscript"/>
              </w:rPr>
              <w:t>(3)</w:t>
            </w:r>
          </w:p>
        </w:tc>
        <w:tc>
          <w:tcPr>
            <w:tcW w:w="26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5,900</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5,900</w:t>
            </w:r>
          </w:p>
        </w:tc>
      </w:tr>
      <w:tr>
        <w:trPr>
          <w:trHeight w:val="101"/>
        </w:trPr>
        <w:tc>
          <w:tcPr>
            <w:tcW w:w="3180" w:type="dxa"/>
            <w:vAlign w:val="bottom"/>
            <w:tcBorders>
              <w:top w:val="single" w:sz="8" w:color="CCEEFF"/>
              <w:bottom w:val="single" w:sz="8" w:color="CCEEFF"/>
            </w:tcBorders>
            <w:gridSpan w:val="2"/>
            <w:shd w:val="clear" w:color="auto" w:fill="CCEEFF"/>
          </w:tcPr>
          <w:p>
            <w:pPr>
              <w:ind w:left="60"/>
              <w:spacing w:after="0" w:line="101" w:lineRule="exact"/>
              <w:rPr>
                <w:sz w:val="20"/>
                <w:szCs w:val="20"/>
                <w:color w:val="auto"/>
              </w:rPr>
            </w:pPr>
            <w:r>
              <w:rPr>
                <w:rFonts w:ascii="Times New Roman" w:cs="Times New Roman" w:eastAsia="Times New Roman" w:hAnsi="Times New Roman"/>
                <w:sz w:val="10"/>
                <w:szCs w:val="10"/>
                <w:color w:val="auto"/>
              </w:rPr>
              <w:t>Total</w:t>
            </w:r>
          </w:p>
        </w:tc>
        <w:tc>
          <w:tcPr>
            <w:tcW w:w="260" w:type="dxa"/>
            <w:vAlign w:val="bottom"/>
            <w:tcBorders>
              <w:top w:val="single" w:sz="8" w:color="auto"/>
              <w:bottom w:val="single" w:sz="8" w:color="auto"/>
            </w:tcBorders>
            <w:shd w:val="clear" w:color="auto" w:fill="CCEEFF"/>
          </w:tcPr>
          <w:p>
            <w:pPr>
              <w:jc w:val="right"/>
              <w:ind w:right="150"/>
              <w:spacing w:after="0" w:line="101" w:lineRule="exact"/>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40,018</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240" w:type="dxa"/>
            <w:vAlign w:val="bottom"/>
            <w:tcBorders>
              <w:top w:val="single" w:sz="8" w:color="auto"/>
              <w:bottom w:val="single" w:sz="8" w:color="auto"/>
            </w:tcBorders>
            <w:shd w:val="clear" w:color="auto" w:fill="CCEEFF"/>
          </w:tcPr>
          <w:p>
            <w:pPr>
              <w:jc w:val="right"/>
              <w:ind w:right="130"/>
              <w:spacing w:after="0" w:line="101"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159,741</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2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55,703</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260" w:type="dxa"/>
            <w:vAlign w:val="bottom"/>
            <w:tcBorders>
              <w:top w:val="single" w:sz="8" w:color="auto"/>
              <w:bottom w:val="single" w:sz="8" w:color="auto"/>
            </w:tcBorders>
            <w:shd w:val="clear" w:color="auto" w:fill="CCEEFF"/>
          </w:tcPr>
          <w:p>
            <w:pPr>
              <w:jc w:val="right"/>
              <w:ind w:right="150"/>
              <w:spacing w:after="0" w:line="101" w:lineRule="exact"/>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25,520</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2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23,863</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80" w:type="dxa"/>
            <w:vAlign w:val="bottom"/>
            <w:tcBorders>
              <w:top w:val="single" w:sz="8" w:color="auto"/>
              <w:bottom w:val="single" w:sz="8" w:color="auto"/>
            </w:tcBorders>
            <w:shd w:val="clear" w:color="auto" w:fill="CCEEFF"/>
          </w:tcPr>
          <w:p>
            <w:pPr>
              <w:jc w:val="right"/>
              <w:ind w:right="70"/>
              <w:spacing w:after="0" w:line="101"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126,347</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220" w:type="dxa"/>
            <w:vAlign w:val="bottom"/>
            <w:tcBorders>
              <w:top w:val="single" w:sz="8" w:color="auto"/>
              <w:bottom w:val="single" w:sz="8" w:color="auto"/>
            </w:tcBorders>
            <w:shd w:val="clear" w:color="auto" w:fill="CCEEFF"/>
          </w:tcPr>
          <w:p>
            <w:pPr>
              <w:jc w:val="right"/>
              <w:ind w:right="110"/>
              <w:spacing w:after="0" w:line="101" w:lineRule="exact"/>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431,192</w:t>
            </w:r>
          </w:p>
        </w:tc>
      </w:tr>
    </w:tbl>
    <w:p>
      <w:pPr>
        <w:spacing w:after="0" w:line="51" w:lineRule="exact"/>
        <w:rPr>
          <w:sz w:val="20"/>
          <w:szCs w:val="20"/>
          <w:color w:val="auto"/>
        </w:rPr>
      </w:pPr>
    </w:p>
    <w:p>
      <w:pPr>
        <w:ind w:left="440" w:hanging="222"/>
        <w:spacing w:after="0"/>
        <w:tabs>
          <w:tab w:leader="none" w:pos="440" w:val="left"/>
        </w:tabs>
        <w:numPr>
          <w:ilvl w:val="0"/>
          <w:numId w:val="2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Information is presented gross of deferred financing costs.</w:t>
      </w:r>
    </w:p>
    <w:p>
      <w:pPr>
        <w:spacing w:after="0" w:line="6" w:lineRule="exact"/>
        <w:rPr>
          <w:rFonts w:ascii="Times New Roman" w:cs="Times New Roman" w:eastAsia="Times New Roman" w:hAnsi="Times New Roman"/>
          <w:sz w:val="10"/>
          <w:szCs w:val="10"/>
          <w:color w:val="auto"/>
        </w:rPr>
      </w:pPr>
    </w:p>
    <w:p>
      <w:pPr>
        <w:ind w:left="440" w:hanging="222"/>
        <w:spacing w:after="0" w:line="213" w:lineRule="auto"/>
        <w:tabs>
          <w:tab w:leader="none" w:pos="440" w:val="left"/>
        </w:tabs>
        <w:numPr>
          <w:ilvl w:val="0"/>
          <w:numId w:val="2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Estimated interest on debt is based on the anticipated loan balances for future periods and current applicable interest rates.</w:t>
      </w:r>
    </w:p>
    <w:p>
      <w:pPr>
        <w:ind w:left="440" w:hanging="222"/>
        <w:spacing w:after="0"/>
        <w:tabs>
          <w:tab w:leader="none" w:pos="440" w:val="left"/>
        </w:tabs>
        <w:numPr>
          <w:ilvl w:val="0"/>
          <w:numId w:val="2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Please see disclosures above regarding the SHA transaction.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Litigation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are currently involved in certain legal proceedings and, as required, have accrued estimates of probable and estimable losses for the resolution of these claims.</w:t>
      </w:r>
    </w:p>
    <w:p>
      <w:pPr>
        <w:spacing w:after="0" w:line="13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2"/>
          <w:szCs w:val="12"/>
          <w:color w:val="auto"/>
        </w:rPr>
        <w:t xml:space="preserve">Please refer to </w:t>
      </w:r>
      <w:r>
        <w:rPr>
          <w:rFonts w:ascii="Times New Roman" w:cs="Times New Roman" w:eastAsia="Times New Roman" w:hAnsi="Times New Roman"/>
          <w:sz w:val="12"/>
          <w:szCs w:val="12"/>
          <w:i w:val="1"/>
          <w:iCs w:val="1"/>
          <w:color w:val="auto"/>
        </w:rPr>
        <w:t>Part I, Item 3 – Legal Proceedings</w:t>
      </w:r>
      <w:r>
        <w:rPr>
          <w:rFonts w:ascii="Times New Roman" w:cs="Times New Roman" w:eastAsia="Times New Roman" w:hAnsi="Times New Roman"/>
          <w:sz w:val="12"/>
          <w:szCs w:val="12"/>
          <w:color w:val="auto"/>
        </w:rPr>
        <w:t xml:space="preserve"> in our 2024 Form 10-K for more information. There have been no material changes to our litigation since our 2024 Form 10-K, except as set forth in </w:t>
      </w:r>
      <w:r>
        <w:rPr>
          <w:rFonts w:ascii="Times New Roman" w:cs="Times New Roman" w:eastAsia="Times New Roman" w:hAnsi="Times New Roman"/>
          <w:sz w:val="12"/>
          <w:szCs w:val="12"/>
          <w:i w:val="1"/>
          <w:iCs w:val="1"/>
          <w:color w:val="auto"/>
        </w:rPr>
        <w:t>Notes to Consolidated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Financial Statements-- Note 16 – Commitments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248"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i w:val="1"/>
          <w:iCs w:val="1"/>
          <w:color w:val="auto"/>
        </w:rPr>
        <w:t xml:space="preserve">and Contingencies </w:t>
      </w:r>
      <w:r>
        <w:rPr>
          <w:rFonts w:ascii="Times New Roman" w:cs="Times New Roman" w:eastAsia="Times New Roman" w:hAnsi="Times New Roman"/>
          <w:sz w:val="12"/>
          <w:szCs w:val="12"/>
          <w:color w:val="auto"/>
        </w:rPr>
        <w:t>included herein in</w:t>
      </w:r>
      <w:r>
        <w:rPr>
          <w:rFonts w:ascii="Times New Roman" w:cs="Times New Roman" w:eastAsia="Times New Roman" w:hAnsi="Times New Roman"/>
          <w:sz w:val="12"/>
          <w:szCs w:val="12"/>
          <w:i w:val="1"/>
          <w:iCs w:val="1"/>
          <w:color w:val="auto"/>
        </w:rPr>
        <w:t xml:space="preserve"> Part I – Financial Information, Item 1 – Financial Statements </w:t>
      </w:r>
      <w:r>
        <w:rPr>
          <w:rFonts w:ascii="Times New Roman" w:cs="Times New Roman" w:eastAsia="Times New Roman" w:hAnsi="Times New Roman"/>
          <w:sz w:val="12"/>
          <w:szCs w:val="12"/>
          <w:color w:val="auto"/>
        </w:rPr>
        <w:t>on this Quarterly Report on Form 10-Q. This note sets out our litigation accounting policies.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1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2"/>
          <w:szCs w:val="12"/>
          <w:color w:val="auto"/>
        </w:rPr>
        <w:t>There are no off-balance sheet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2"/>
          <w:szCs w:val="12"/>
          <w:color w:val="auto"/>
        </w:rPr>
        <w:t>We believe that the application of the following accounting policies requires significant judgments and estimates in the preparation of our Consolidated Financial Statements and hence, are critical to our business operations and the understanding of our financial results:</w:t>
      </w:r>
    </w:p>
    <w:p>
      <w:pPr>
        <w:spacing w:after="0" w:line="93" w:lineRule="exact"/>
        <w:rPr>
          <w:sz w:val="20"/>
          <w:szCs w:val="20"/>
          <w:color w:val="auto"/>
        </w:rPr>
      </w:pPr>
    </w:p>
    <w:p>
      <w:pPr>
        <w:jc w:val="both"/>
        <w:ind w:left="440" w:firstLine="2"/>
        <w:spacing w:after="0" w:line="246" w:lineRule="auto"/>
        <w:tabs>
          <w:tab w:leader="none" w:pos="589" w:val="left"/>
        </w:tabs>
        <w:numPr>
          <w:ilvl w:val="0"/>
          <w:numId w:val="2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Impairment of Long-lived Assets (other than Goodwill and Intangible Assets with indefinite lives) – </w:t>
      </w:r>
      <w:r>
        <w:rPr>
          <w:rFonts w:ascii="Times New Roman" w:cs="Times New Roman" w:eastAsia="Times New Roman" w:hAnsi="Times New Roman"/>
          <w:sz w:val="12"/>
          <w:szCs w:val="12"/>
          <w:color w:val="auto"/>
        </w:rPr>
        <w:t>we evaluate our long-lived assets and finite-lived intangible assets using historical and projected data of cash flows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For certain non-income producing properties or for those assets with no consistent historical or projected cash flows, we obtain appraisals or other evidence to evaluate whether there are impairment indicators for these assets.</w:t>
      </w:r>
    </w:p>
    <w:p>
      <w:pPr>
        <w:spacing w:after="0" w:line="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No impairment losses were recorded for long-lived and finite-lived intangible assets for the quarter ended September 30, 2025.</w:t>
      </w:r>
    </w:p>
    <w:p>
      <w:pPr>
        <w:spacing w:after="0" w:line="130" w:lineRule="exact"/>
        <w:rPr>
          <w:sz w:val="20"/>
          <w:szCs w:val="20"/>
          <w:color w:val="auto"/>
        </w:rPr>
      </w:pPr>
    </w:p>
    <w:p>
      <w:pPr>
        <w:jc w:val="both"/>
        <w:ind w:left="440" w:firstLine="2"/>
        <w:spacing w:after="0" w:line="246" w:lineRule="auto"/>
        <w:tabs>
          <w:tab w:leader="none" w:pos="628" w:val="left"/>
        </w:tabs>
        <w:numPr>
          <w:ilvl w:val="0"/>
          <w:numId w:val="2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Impairment of Goodwill and Intangible Assets with indefinite lives – </w:t>
      </w:r>
      <w:r>
        <w:rPr>
          <w:rFonts w:ascii="Times New Roman" w:cs="Times New Roman" w:eastAsia="Times New Roman" w:hAnsi="Times New Roman"/>
          <w:sz w:val="12"/>
          <w:szCs w:val="12"/>
          <w:color w:val="auto"/>
        </w:rPr>
        <w:t>goodwill and intangible assets with indefinite useful lives are not amortized, but instead, tested for impairment at least annually on a reporting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unit basis. The impairment evaluation is based on the present value of estimated future cash flows of each reporting unit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w:t>
      </w:r>
    </w:p>
    <w:p>
      <w:pPr>
        <w:spacing w:after="0" w:line="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No impairment losses were recorded for goodwill and indefinite-lived intangible assets for the quarter ended September 30,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CAUTIONARY STATEMENT REGARDING FORWARD-LOOKING STATEMENTS</w:t>
      </w:r>
    </w:p>
    <w:p>
      <w:pPr>
        <w:spacing w:after="0" w:line="13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2"/>
          <w:szCs w:val="12"/>
          <w:color w:val="auto"/>
        </w:rPr>
        <w:t>Our statements in this quarterly report, including the documents incorporated herein by reference, contain a variety of forward-looking statements as defined by the Securities Litigation Reform Act of 1995. Forward-looking statements can be identified by words such as: "may," "will," "expect," "believe," "intend," "future," and "anticipate" and similar references to future periods. Examples of forward-looking statements include, among others, our beliefs regarding the impact of the 2023 Hollywood Strikes on the cinema business; our expected operating results, including our ultimate return to pre-pandemic type results; our expectations regarding the recovery and future of the cinema exhibition industry, including the strength of movies anticipated for release in the future; our expectations regarding patrons returning to our theatres and continuing to use discretionary funds on entertainment outside of the home; our beliefs regarding the impact of our cinema-anchored real estate developments; our beliefs regarding the success of our diversified business strategy; our belief regarding the attractiveness of 44 Union Square to potential tenants and ability to lease space on acceptable terms; our expectations regarding the effects of our enhanced F&amp;B offerings on our operating results; our expectations regarding our ability to monetize our assets on terms acceptable to us; our expectations regarding credit facility covenant compliance and our ability to continue to obtain necessary covenant waivers and loan extensions on terms acceptable to us; and our expectations of our liquidity and capital requirements and the allocation of funds.</w:t>
      </w:r>
    </w:p>
    <w:p>
      <w:pPr>
        <w:spacing w:after="0" w:line="1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2"/>
          <w:szCs w:val="12"/>
          <w:color w:val="auto"/>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with respect to our cinema and Live Theatre operations:</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reduced consumer demand due to inflationary pressures and other macroeconomic pressures;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116" w:right="299" w:bottom="1440" w:gutter="0" w:footer="0" w:header="0"/>
        </w:sectPr>
      </w:pPr>
    </w:p>
    <w:bookmarkStart w:id="45" w:name="page46"/>
    <w:bookmarkEnd w:id="45"/>
    <w:p>
      <w:pPr>
        <w:ind w:left="440"/>
        <w:spacing w:after="0" w:line="255" w:lineRule="auto"/>
        <w:rPr>
          <w:sz w:val="20"/>
          <w:szCs w:val="20"/>
          <w:color w:val="auto"/>
        </w:rPr>
      </w:pPr>
      <w:r>
        <w:rPr>
          <w:rFonts w:ascii="Times New Roman" w:cs="Times New Roman" w:eastAsia="Times New Roman" w:hAnsi="Times New Roman"/>
          <w:sz w:val="12"/>
          <w:szCs w:val="12"/>
          <w:color w:val="auto"/>
        </w:rPr>
        <w:t>the adverse continuing effects of external events of the past pandemic and the 2023 Hollywood strikes on our Company’s results from operations, liquidity, cash flows, financial condition, and access to credit markets;</w:t>
      </w:r>
    </w:p>
    <w:p>
      <w:pPr>
        <w:spacing w:after="0" w:line="1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 change in consumer behavior in favor of alternative forms or mediums of entertainment, and limited availability of wide motion picture release content;</w:t>
      </w:r>
    </w:p>
    <w:p>
      <w:pPr>
        <w:spacing w:after="0" w:line="1" w:lineRule="exact"/>
        <w:rPr>
          <w:sz w:val="20"/>
          <w:szCs w:val="20"/>
          <w:color w:val="auto"/>
        </w:rPr>
      </w:pPr>
    </w:p>
    <w:p>
      <w:pPr>
        <w:ind w:left="440" w:right="1600"/>
        <w:spacing w:after="0" w:line="249" w:lineRule="auto"/>
        <w:rPr>
          <w:sz w:val="20"/>
          <w:szCs w:val="20"/>
          <w:color w:val="auto"/>
        </w:rPr>
      </w:pPr>
      <w:r>
        <w:rPr>
          <w:rFonts w:ascii="Times New Roman" w:cs="Times New Roman" w:eastAsia="Times New Roman" w:hAnsi="Times New Roman"/>
          <w:sz w:val="12"/>
          <w:szCs w:val="12"/>
          <w:color w:val="auto"/>
        </w:rPr>
        <w:t>reduction in operating margins (or negative operating margins) due to (i) decreased attendance, (ii) limited availability of wide release content, and (iii) increased operating expenses; competition from cinema operators who have successfully used debtor laws to reduce their debt and/or rent exposure;</w:t>
      </w:r>
    </w:p>
    <w:p>
      <w:pPr>
        <w:ind w:left="220"/>
        <w:spacing w:after="0"/>
        <w:rPr>
          <w:sz w:val="20"/>
          <w:szCs w:val="20"/>
          <w:color w:val="auto"/>
        </w:rPr>
      </w:pPr>
      <w:r>
        <w:rPr>
          <w:rFonts w:ascii="Times New Roman" w:cs="Times New Roman" w:eastAsia="Times New Roman" w:hAnsi="Times New Roman"/>
          <w:sz w:val="12"/>
          <w:szCs w:val="12"/>
          <w:color w:val="auto"/>
        </w:rPr>
        <w:t>the uncertainty as to the scope and extent of our government’s potential responses to future outbreak of infectious diseases;</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number and attractiveness to moviegoers of the films released in future periods, and potential changes in release dates for motion pictures;</w:t>
      </w:r>
    </w:p>
    <w:p>
      <w:pPr>
        <w:spacing w:after="0" w:line="8" w:lineRule="exact"/>
        <w:rPr>
          <w:sz w:val="20"/>
          <w:szCs w:val="20"/>
          <w:color w:val="auto"/>
        </w:rPr>
      </w:pPr>
    </w:p>
    <w:p>
      <w:pPr>
        <w:ind w:left="440" w:right="20"/>
        <w:spacing w:after="0" w:line="237" w:lineRule="auto"/>
        <w:rPr>
          <w:sz w:val="20"/>
          <w:szCs w:val="20"/>
          <w:color w:val="auto"/>
        </w:rPr>
      </w:pPr>
      <w:r>
        <w:rPr>
          <w:rFonts w:ascii="Times New Roman" w:cs="Times New Roman" w:eastAsia="Times New Roman" w:hAnsi="Times New Roman"/>
          <w:sz w:val="12"/>
          <w:szCs w:val="12"/>
          <w:color w:val="auto"/>
        </w:rPr>
        <w:t>the lack of availability of films in the short- or long-term as a result of (i) major film distributors releasing scheduled theatrical films on alternative channels; (ii) disruptions of film production; or (iii) rescheduling of movie releases into later periods, as experienced due to the implications of the 2023 Hollywood strikes;</w:t>
      </w:r>
    </w:p>
    <w:p>
      <w:pPr>
        <w:ind w:left="220"/>
        <w:spacing w:after="0"/>
        <w:rPr>
          <w:sz w:val="20"/>
          <w:szCs w:val="20"/>
          <w:color w:val="auto"/>
        </w:rPr>
      </w:pPr>
      <w:r>
        <w:rPr>
          <w:rFonts w:ascii="Times New Roman" w:cs="Times New Roman" w:eastAsia="Times New Roman" w:hAnsi="Times New Roman"/>
          <w:sz w:val="12"/>
          <w:szCs w:val="12"/>
          <w:color w:val="auto"/>
        </w:rPr>
        <w:t>the amount of money spent by film distributors to promote their motion pictures;</w:t>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licensing fees and terms required by film distributors from motion picture exhibitors in order to exhibit their films;</w:t>
      </w:r>
    </w:p>
    <w:p>
      <w:pPr>
        <w:spacing w:after="0" w:line="4" w:lineRule="exact"/>
        <w:rPr>
          <w:sz w:val="20"/>
          <w:szCs w:val="20"/>
          <w:color w:val="auto"/>
        </w:rPr>
      </w:pPr>
    </w:p>
    <w:p>
      <w:pPr>
        <w:ind w:left="440"/>
        <w:spacing w:after="0" w:line="243" w:lineRule="auto"/>
        <w:rPr>
          <w:sz w:val="20"/>
          <w:szCs w:val="20"/>
          <w:color w:val="auto"/>
        </w:rPr>
      </w:pPr>
      <w:r>
        <w:rPr>
          <w:rFonts w:ascii="Times New Roman" w:cs="Times New Roman" w:eastAsia="Times New Roman" w:hAnsi="Times New Roman"/>
          <w:sz w:val="12"/>
          <w:szCs w:val="12"/>
          <w:color w:val="auto"/>
        </w:rPr>
        <w:t>the comparative attractiveness of motion pictures as a source of entertainment and willingness and/or ability of consumers (i) to spend their dollars on entertainment and (ii) to spend their entertainment dollars on movies in an outside-the-home environment;</w:t>
      </w:r>
    </w:p>
    <w:p>
      <w:pPr>
        <w:ind w:left="440" w:right="20"/>
        <w:spacing w:after="0" w:line="243" w:lineRule="auto"/>
        <w:rPr>
          <w:sz w:val="20"/>
          <w:szCs w:val="20"/>
          <w:color w:val="auto"/>
        </w:rPr>
      </w:pPr>
      <w:r>
        <w:rPr>
          <w:rFonts w:ascii="Times New Roman" w:cs="Times New Roman" w:eastAsia="Times New Roman" w:hAnsi="Times New Roman"/>
          <w:sz w:val="12"/>
          <w:szCs w:val="12"/>
          <w:color w:val="auto"/>
        </w:rPr>
        <w:t>the extent to which we encounter competition from other cinema exhibitors, from other sources of outside-the-home entertainment, and from inside-the-home entertainment options, such as “home cinemas” and competitive film product distribution technology, such as, streaming, cable, satellite broadcast, video on demand platforms, and Blu-ray/DVD rentals and sales;</w:t>
      </w:r>
    </w:p>
    <w:p>
      <w:pPr>
        <w:ind w:left="440" w:right="4200"/>
        <w:spacing w:after="0" w:line="243" w:lineRule="auto"/>
        <w:rPr>
          <w:sz w:val="20"/>
          <w:szCs w:val="20"/>
          <w:color w:val="auto"/>
        </w:rPr>
      </w:pPr>
      <w:r>
        <w:rPr>
          <w:rFonts w:ascii="Times New Roman" w:cs="Times New Roman" w:eastAsia="Times New Roman" w:hAnsi="Times New Roman"/>
          <w:sz w:val="12"/>
          <w:szCs w:val="12"/>
          <w:color w:val="auto"/>
        </w:rPr>
        <w:t>our ability to continue to obtain, to the extent needed, waivers or other financial accommodations from our lenders and landlords; the impact of major movies being released directly to one of the multitudes of streaming services available;</w:t>
      </w:r>
    </w:p>
    <w:p>
      <w:pPr>
        <w:ind w:left="220"/>
        <w:spacing w:after="0"/>
        <w:rPr>
          <w:sz w:val="20"/>
          <w:szCs w:val="20"/>
          <w:color w:val="auto"/>
        </w:rPr>
      </w:pPr>
      <w:r>
        <w:rPr>
          <w:rFonts w:ascii="Times New Roman" w:cs="Times New Roman" w:eastAsia="Times New Roman" w:hAnsi="Times New Roman"/>
          <w:sz w:val="12"/>
          <w:szCs w:val="12"/>
          <w:color w:val="auto"/>
        </w:rPr>
        <w:t>the impact of certain competitors’ subscription or advance pay programs;</w:t>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failure of our new initiatives to gain significant customer acceptance and use or to generate meaningful profits;</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cost and impact of improvements to our cinemas, such as improved seating, enhanced F&amp;B offerings, and other improvements;</w:t>
      </w:r>
    </w:p>
    <w:p>
      <w:pPr>
        <w:spacing w:after="0" w:line="15" w:lineRule="exact"/>
        <w:rPr>
          <w:sz w:val="20"/>
          <w:szCs w:val="20"/>
          <w:color w:val="auto"/>
        </w:rPr>
      </w:pPr>
    </w:p>
    <w:p>
      <w:pPr>
        <w:ind w:left="440" w:right="1060"/>
        <w:spacing w:after="0" w:line="249" w:lineRule="auto"/>
        <w:rPr>
          <w:sz w:val="20"/>
          <w:szCs w:val="20"/>
          <w:color w:val="auto"/>
        </w:rPr>
      </w:pPr>
      <w:r>
        <w:rPr>
          <w:rFonts w:ascii="Times New Roman" w:cs="Times New Roman" w:eastAsia="Times New Roman" w:hAnsi="Times New Roman"/>
          <w:sz w:val="12"/>
          <w:szCs w:val="12"/>
          <w:color w:val="auto"/>
        </w:rPr>
        <w:t>the ability to negotiate favorable rent abatement, deferral and repayment terms with our landlords (which may include lenders who have foreclosed on the collateral held by our prior landlords); disruptions during cinema improvements;</w:t>
      </w:r>
    </w:p>
    <w:p>
      <w:pPr>
        <w:ind w:left="220"/>
        <w:spacing w:after="0"/>
        <w:rPr>
          <w:sz w:val="20"/>
          <w:szCs w:val="20"/>
          <w:color w:val="auto"/>
        </w:rPr>
      </w:pPr>
      <w:r>
        <w:rPr>
          <w:rFonts w:ascii="Times New Roman" w:cs="Times New Roman" w:eastAsia="Times New Roman" w:hAnsi="Times New Roman"/>
          <w:sz w:val="12"/>
          <w:szCs w:val="12"/>
          <w:color w:val="auto"/>
        </w:rPr>
        <w:t>in the U.S., the impact of the termination and phase-out of the so called “Paramount Decree;”</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risk of damage and/or disruption of cinema businesses from earthquakes as certain of our operations are in geologically active areas;</w:t>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impact of protests, demonstrations, and civil unrest on, among other things, government policy, consumer willingness to go to the movies;</w:t>
      </w:r>
    </w:p>
    <w:p>
      <w:pPr>
        <w:spacing w:after="0" w:line="4" w:lineRule="exact"/>
        <w:rPr>
          <w:sz w:val="20"/>
          <w:szCs w:val="20"/>
          <w:color w:val="auto"/>
        </w:rPr>
      </w:pPr>
    </w:p>
    <w:p>
      <w:pPr>
        <w:ind w:left="440"/>
        <w:spacing w:after="0" w:line="243" w:lineRule="auto"/>
        <w:rPr>
          <w:sz w:val="20"/>
          <w:szCs w:val="20"/>
          <w:color w:val="auto"/>
        </w:rPr>
      </w:pPr>
      <w:r>
        <w:rPr>
          <w:rFonts w:ascii="Times New Roman" w:cs="Times New Roman" w:eastAsia="Times New Roman" w:hAnsi="Times New Roman"/>
          <w:sz w:val="12"/>
          <w:szCs w:val="12"/>
          <w:color w:val="auto"/>
        </w:rPr>
        <w:t>labor shortages and increased labor costs related to such shortages and to increasingly costly labor laws and regulations applicable to part time non-exempt workers. Disruptions in film supply and film marketing due to the 2023 Hollywood Strikes; and</w:t>
      </w:r>
    </w:p>
    <w:p>
      <w:pPr>
        <w:ind w:left="220" w:right="5460" w:firstLine="224"/>
        <w:spacing w:after="0" w:line="243" w:lineRule="auto"/>
        <w:rPr>
          <w:sz w:val="20"/>
          <w:szCs w:val="20"/>
          <w:color w:val="auto"/>
        </w:rPr>
      </w:pPr>
      <w:r>
        <w:rPr>
          <w:rFonts w:ascii="Times New Roman" w:cs="Times New Roman" w:eastAsia="Times New Roman" w:hAnsi="Times New Roman"/>
          <w:sz w:val="12"/>
          <w:szCs w:val="12"/>
          <w:color w:val="auto"/>
        </w:rPr>
        <w:t>competition from a newly restructured Regal, which may have lower occupancy costs than our cinemas. with respect to our real estate development and operation activities:</w:t>
      </w:r>
    </w:p>
    <w:p>
      <w:pPr>
        <w:ind w:left="440" w:right="5900"/>
        <w:spacing w:after="0" w:line="243" w:lineRule="auto"/>
        <w:rPr>
          <w:sz w:val="20"/>
          <w:szCs w:val="20"/>
          <w:color w:val="auto"/>
        </w:rPr>
      </w:pPr>
      <w:r>
        <w:rPr>
          <w:rFonts w:ascii="Times New Roman" w:cs="Times New Roman" w:eastAsia="Times New Roman" w:hAnsi="Times New Roman"/>
          <w:sz w:val="12"/>
          <w:szCs w:val="12"/>
          <w:color w:val="auto"/>
        </w:rPr>
        <w:t>the increased costs of wages, supplies, services and other development expenses from inflation; the impact on tenants from inflationary pressures;</w:t>
      </w:r>
    </w:p>
    <w:p>
      <w:pPr>
        <w:ind w:left="220"/>
        <w:spacing w:after="0"/>
        <w:rPr>
          <w:sz w:val="20"/>
          <w:szCs w:val="20"/>
          <w:color w:val="auto"/>
        </w:rPr>
      </w:pPr>
      <w:r>
        <w:rPr>
          <w:rFonts w:ascii="Times New Roman" w:cs="Times New Roman" w:eastAsia="Times New Roman" w:hAnsi="Times New Roman"/>
          <w:sz w:val="12"/>
          <w:szCs w:val="12"/>
          <w:color w:val="auto"/>
        </w:rPr>
        <w:t>uncertainty as to governmental responses to infectious diseases;</w:t>
      </w:r>
    </w:p>
    <w:p>
      <w:pPr>
        <w:spacing w:after="0" w:line="8" w:lineRule="exact"/>
        <w:rPr>
          <w:sz w:val="20"/>
          <w:szCs w:val="20"/>
          <w:color w:val="auto"/>
        </w:rPr>
      </w:pPr>
    </w:p>
    <w:p>
      <w:pPr>
        <w:ind w:left="440" w:right="4320"/>
        <w:spacing w:after="0" w:line="245" w:lineRule="auto"/>
        <w:rPr>
          <w:sz w:val="20"/>
          <w:szCs w:val="20"/>
          <w:color w:val="auto"/>
        </w:rPr>
      </w:pPr>
      <w:r>
        <w:rPr>
          <w:rFonts w:ascii="Times New Roman" w:cs="Times New Roman" w:eastAsia="Times New Roman" w:hAnsi="Times New Roman"/>
          <w:sz w:val="12"/>
          <w:szCs w:val="12"/>
          <w:color w:val="auto"/>
        </w:rPr>
        <w:t>the rental rates and capitalization rates applicable to the markets in which we operate and the quality of properties that we own; the ability to negotiate and execute lease agreements with material tenants;</w:t>
      </w:r>
    </w:p>
    <w:p>
      <w:pPr>
        <w:ind w:left="440" w:right="4020"/>
        <w:spacing w:after="0" w:line="251" w:lineRule="auto"/>
        <w:rPr>
          <w:sz w:val="20"/>
          <w:szCs w:val="20"/>
          <w:color w:val="auto"/>
        </w:rPr>
      </w:pPr>
      <w:r>
        <w:rPr>
          <w:rFonts w:ascii="Times New Roman" w:cs="Times New Roman" w:eastAsia="Times New Roman" w:hAnsi="Times New Roman"/>
          <w:sz w:val="12"/>
          <w:szCs w:val="12"/>
          <w:color w:val="auto"/>
        </w:rPr>
        <w:t>the extent to which we can obtain on a timely basis the various land use approvals and entitlements needed to develop our properties; the risks and uncertainties associated with real estate development;</w:t>
      </w:r>
    </w:p>
    <w:p>
      <w:pPr>
        <w:ind w:left="220"/>
        <w:spacing w:after="0"/>
        <w:rPr>
          <w:sz w:val="20"/>
          <w:szCs w:val="20"/>
          <w:color w:val="auto"/>
        </w:rPr>
      </w:pPr>
      <w:r>
        <w:rPr>
          <w:rFonts w:ascii="Times New Roman" w:cs="Times New Roman" w:eastAsia="Times New Roman" w:hAnsi="Times New Roman"/>
          <w:sz w:val="12"/>
          <w:szCs w:val="12"/>
          <w:color w:val="auto"/>
        </w:rPr>
        <w:t>the availability and cost of labor and materials;</w:t>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ability to obtain all permits to construct improvements;</w:t>
      </w:r>
    </w:p>
    <w:p>
      <w:pPr>
        <w:spacing w:after="0" w:line="4" w:lineRule="exact"/>
        <w:rPr>
          <w:sz w:val="20"/>
          <w:szCs w:val="20"/>
          <w:color w:val="auto"/>
        </w:rPr>
      </w:pPr>
    </w:p>
    <w:p>
      <w:pPr>
        <w:ind w:left="440" w:right="4200"/>
        <w:spacing w:after="0" w:line="249" w:lineRule="auto"/>
        <w:rPr>
          <w:sz w:val="20"/>
          <w:szCs w:val="20"/>
          <w:color w:val="auto"/>
        </w:rPr>
      </w:pPr>
      <w:r>
        <w:rPr>
          <w:rFonts w:ascii="Times New Roman" w:cs="Times New Roman" w:eastAsia="Times New Roman" w:hAnsi="Times New Roman"/>
          <w:sz w:val="12"/>
          <w:szCs w:val="12"/>
          <w:color w:val="auto"/>
        </w:rPr>
        <w:t>the ability to finance improvements, including, but not limited to increased cost of borrowing and tightened lender credit policies; the disruptions to our business from construction and/or renovations;</w:t>
      </w:r>
    </w:p>
    <w:p>
      <w:pPr>
        <w:ind w:left="440" w:right="6860"/>
        <w:spacing w:after="0" w:line="251" w:lineRule="auto"/>
        <w:rPr>
          <w:sz w:val="20"/>
          <w:szCs w:val="20"/>
          <w:color w:val="auto"/>
        </w:rPr>
      </w:pPr>
      <w:r>
        <w:rPr>
          <w:rFonts w:ascii="Times New Roman" w:cs="Times New Roman" w:eastAsia="Times New Roman" w:hAnsi="Times New Roman"/>
          <w:sz w:val="12"/>
          <w:szCs w:val="12"/>
          <w:color w:val="auto"/>
        </w:rPr>
        <w:t>the possibility of construction delays, work stoppage, and material shortage; competition for development sites and tenants;</w:t>
      </w:r>
    </w:p>
    <w:p>
      <w:pPr>
        <w:ind w:left="220"/>
        <w:spacing w:after="0"/>
        <w:rPr>
          <w:sz w:val="20"/>
          <w:szCs w:val="20"/>
          <w:color w:val="auto"/>
        </w:rPr>
      </w:pPr>
      <w:r>
        <w:rPr>
          <w:rFonts w:ascii="Times New Roman" w:cs="Times New Roman" w:eastAsia="Times New Roman" w:hAnsi="Times New Roman"/>
          <w:sz w:val="12"/>
          <w:szCs w:val="12"/>
          <w:color w:val="auto"/>
        </w:rPr>
        <w:t>environmental remediation issues;</w:t>
      </w:r>
    </w:p>
    <w:p>
      <w:pPr>
        <w:spacing w:after="0" w:line="12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144145</wp:posOffset>
            </wp:positionV>
            <wp:extent cx="720026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080"/>
          </w:cols>
          <w:pgMar w:left="520" w:top="388" w:right="299" w:bottom="1440" w:gutter="0" w:footer="0" w:header="0"/>
        </w:sectPr>
      </w:pPr>
    </w:p>
    <w:bookmarkStart w:id="46" w:name="page47"/>
    <w:bookmarkEnd w:id="46"/>
    <w:p>
      <w:pPr>
        <w:ind w:left="660" w:right="1240"/>
        <w:spacing w:after="0" w:line="261" w:lineRule="auto"/>
        <w:rPr>
          <w:sz w:val="20"/>
          <w:szCs w:val="20"/>
          <w:color w:val="auto"/>
        </w:rPr>
      </w:pPr>
      <w:r>
        <w:rPr>
          <w:rFonts w:ascii="Times New Roman" w:cs="Times New Roman" w:eastAsia="Times New Roman" w:hAnsi="Times New Roman"/>
          <w:sz w:val="12"/>
          <w:szCs w:val="12"/>
          <w:color w:val="auto"/>
        </w:rPr>
        <w:t>the extent to which our cinemas can continue to serve as an anchor tenant that will, in turn, be influenced by the same factors as will influence generally the results of our cinema operations; the increased depreciation and amortization expense as construction projects transition to leased real property;</w:t>
      </w:r>
    </w:p>
    <w:p>
      <w:pPr>
        <w:ind w:left="440"/>
        <w:spacing w:after="0"/>
        <w:rPr>
          <w:sz w:val="20"/>
          <w:szCs w:val="20"/>
          <w:color w:val="auto"/>
        </w:rPr>
      </w:pPr>
      <w:r>
        <w:rPr>
          <w:rFonts w:ascii="Times New Roman" w:cs="Times New Roman" w:eastAsia="Times New Roman" w:hAnsi="Times New Roman"/>
          <w:sz w:val="12"/>
          <w:szCs w:val="12"/>
          <w:color w:val="auto"/>
        </w:rPr>
        <w:t>the ability to negotiate and execute joint venture opportunities and relationships;</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risk of damage and/or disruption of real estate businesses from earthquakes as certain of our operations are in geologically active areas;</w:t>
      </w:r>
    </w:p>
    <w:p>
      <w:pPr>
        <w:spacing w:after="0" w:line="1" w:lineRule="exact"/>
        <w:rPr>
          <w:sz w:val="20"/>
          <w:szCs w:val="20"/>
          <w:color w:val="auto"/>
        </w:rPr>
      </w:pPr>
    </w:p>
    <w:p>
      <w:pPr>
        <w:ind w:left="660"/>
        <w:spacing w:after="0" w:line="243" w:lineRule="auto"/>
        <w:rPr>
          <w:sz w:val="20"/>
          <w:szCs w:val="20"/>
          <w:color w:val="auto"/>
        </w:rPr>
      </w:pPr>
      <w:r>
        <w:rPr>
          <w:rFonts w:ascii="Times New Roman" w:cs="Times New Roman" w:eastAsia="Times New Roman" w:hAnsi="Times New Roman"/>
          <w:sz w:val="12"/>
          <w:szCs w:val="12"/>
          <w:color w:val="auto"/>
        </w:rPr>
        <w:t>the disruptions or reductions in the utilization of entertainment, shopping and hospitality venues, as well as in our operations, due to pandemics, epidemics, widespread health emergencies, or outbreaks of infectious diseases, or to changing consumer tastes and habits; and</w:t>
      </w:r>
    </w:p>
    <w:p>
      <w:pPr>
        <w:ind w:left="440"/>
        <w:spacing w:after="0"/>
        <w:rPr>
          <w:sz w:val="20"/>
          <w:szCs w:val="20"/>
          <w:color w:val="auto"/>
        </w:rPr>
      </w:pPr>
      <w:r>
        <w:rPr>
          <w:rFonts w:ascii="Times New Roman" w:cs="Times New Roman" w:eastAsia="Times New Roman" w:hAnsi="Times New Roman"/>
          <w:sz w:val="12"/>
          <w:szCs w:val="12"/>
          <w:color w:val="auto"/>
        </w:rPr>
        <w:t>the impact of protests, demonstrations, and civil unrest on government policy, consumer willingness to visit shopping centers.</w:t>
      </w:r>
    </w:p>
    <w:p>
      <w:pPr>
        <w:spacing w:after="0" w:line="8" w:lineRule="exact"/>
        <w:rPr>
          <w:sz w:val="20"/>
          <w:szCs w:val="20"/>
          <w:color w:val="auto"/>
        </w:rPr>
      </w:pPr>
    </w:p>
    <w:p>
      <w:pPr>
        <w:ind w:left="440"/>
        <w:spacing w:after="0" w:line="228" w:lineRule="auto"/>
        <w:rPr>
          <w:sz w:val="20"/>
          <w:szCs w:val="20"/>
          <w:color w:val="auto"/>
        </w:rPr>
      </w:pPr>
      <w:r>
        <w:rPr>
          <w:rFonts w:ascii="Times New Roman" w:cs="Times New Roman" w:eastAsia="Times New Roman" w:hAnsi="Times New Roman"/>
          <w:sz w:val="12"/>
          <w:szCs w:val="12"/>
          <w:color w:val="auto"/>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spacing w:after="0" w:line="1" w:lineRule="exact"/>
        <w:rPr>
          <w:sz w:val="20"/>
          <w:szCs w:val="20"/>
          <w:color w:val="auto"/>
        </w:rPr>
      </w:pPr>
    </w:p>
    <w:p>
      <w:pPr>
        <w:ind w:left="660" w:right="3880"/>
        <w:spacing w:after="0" w:line="251" w:lineRule="auto"/>
        <w:rPr>
          <w:sz w:val="20"/>
          <w:szCs w:val="20"/>
          <w:color w:val="auto"/>
        </w:rPr>
      </w:pPr>
      <w:r>
        <w:rPr>
          <w:rFonts w:ascii="Times New Roman" w:cs="Times New Roman" w:eastAsia="Times New Roman" w:hAnsi="Times New Roman"/>
          <w:sz w:val="12"/>
          <w:szCs w:val="12"/>
          <w:color w:val="auto"/>
        </w:rPr>
        <w:t>our ability to renew, extend, renegotiate or replace our loans that mature in 2025 and beyond, and the impact of increasing interest rates; our ability to grow our Company and provide value to our stockholders;</w:t>
      </w:r>
    </w:p>
    <w:p>
      <w:pPr>
        <w:ind w:left="660"/>
        <w:spacing w:after="0" w:line="243" w:lineRule="auto"/>
        <w:rPr>
          <w:sz w:val="20"/>
          <w:szCs w:val="20"/>
          <w:color w:val="auto"/>
        </w:rPr>
      </w:pPr>
      <w:r>
        <w:rPr>
          <w:rFonts w:ascii="Times New Roman" w:cs="Times New Roman" w:eastAsia="Times New Roman" w:hAnsi="Times New Roman"/>
          <w:sz w:val="12"/>
          <w:szCs w:val="12"/>
          <w:color w:val="auto"/>
        </w:rPr>
        <w:t>our ongoing access to borrowed funds and capital and the interest that must be paid on that debt and the returns that must be paid on such capital, and our ability to borrow funds to help cover the cessation of cash flows we experienced during the COVID-19 pandemic;</w:t>
      </w:r>
    </w:p>
    <w:p>
      <w:pPr>
        <w:ind w:left="660" w:right="6420"/>
        <w:spacing w:after="0" w:line="258" w:lineRule="auto"/>
        <w:rPr>
          <w:sz w:val="20"/>
          <w:szCs w:val="20"/>
          <w:color w:val="auto"/>
        </w:rPr>
      </w:pPr>
      <w:r>
        <w:rPr>
          <w:rFonts w:ascii="Times New Roman" w:cs="Times New Roman" w:eastAsia="Times New Roman" w:hAnsi="Times New Roman"/>
          <w:sz w:val="12"/>
          <w:szCs w:val="12"/>
          <w:color w:val="auto"/>
        </w:rPr>
        <w:t>our ability to reallocate funds among jurisdictions to meet short-term liquidity needs; the relative values of the currency used in the countries in which we operate;</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changes in government regulation, including by way of example, the costs resulting from the requirements of Sarbanes-Oxley and other increased regulatory requirements;</w:t>
      </w:r>
    </w:p>
    <w:p>
      <w:pPr>
        <w:spacing w:after="0" w:line="15" w:lineRule="exact"/>
        <w:rPr>
          <w:sz w:val="20"/>
          <w:szCs w:val="20"/>
          <w:color w:val="auto"/>
        </w:rPr>
      </w:pPr>
    </w:p>
    <w:p>
      <w:pPr>
        <w:ind w:left="660" w:right="20"/>
        <w:spacing w:after="0" w:line="243" w:lineRule="auto"/>
        <w:rPr>
          <w:sz w:val="20"/>
          <w:szCs w:val="20"/>
          <w:color w:val="auto"/>
        </w:rPr>
      </w:pPr>
      <w:r>
        <w:rPr>
          <w:rFonts w:ascii="Times New Roman" w:cs="Times New Roman" w:eastAsia="Times New Roman" w:hAnsi="Times New Roman"/>
          <w:sz w:val="12"/>
          <w:szCs w:val="12"/>
          <w:color w:val="auto"/>
        </w:rPr>
        <w:t>our labor relations and costs of labor (including future government requirements with respect to minimum wages, shift scheduling, the use of consultants, pension liabilities, disability insurance and health coverage, and vacations and leave);</w:t>
      </w:r>
    </w:p>
    <w:p>
      <w:pPr>
        <w:ind w:left="660" w:right="20"/>
        <w:spacing w:after="0" w:line="237" w:lineRule="auto"/>
        <w:rPr>
          <w:sz w:val="20"/>
          <w:szCs w:val="20"/>
          <w:color w:val="auto"/>
        </w:rPr>
      </w:pPr>
      <w:r>
        <w:rPr>
          <w:rFonts w:ascii="Times New Roman" w:cs="Times New Roman" w:eastAsia="Times New Roman" w:hAnsi="Times New Roman"/>
          <w:sz w:val="12"/>
          <w:szCs w:val="12"/>
          <w:color w:val="auto"/>
        </w:rPr>
        <w:t>our exposure from time to time to legal claims and to uninsurable risks, such as those related to our historic railroad operations, including potential environmental claims and health-related claims relating to alleged exposure to asbestos or other substances now or in the future recognized as being possible causes of cancer or other health related problems, and class actions and private attorney general wage and hour and/or safe workplace-based claims;</w:t>
      </w:r>
    </w:p>
    <w:p>
      <w:pPr>
        <w:spacing w:after="0" w:line="1" w:lineRule="exact"/>
        <w:rPr>
          <w:sz w:val="20"/>
          <w:szCs w:val="20"/>
          <w:color w:val="auto"/>
        </w:rPr>
      </w:pPr>
    </w:p>
    <w:p>
      <w:pPr>
        <w:ind w:left="660" w:right="4160"/>
        <w:spacing w:after="0" w:line="251" w:lineRule="auto"/>
        <w:rPr>
          <w:sz w:val="20"/>
          <w:szCs w:val="20"/>
          <w:color w:val="auto"/>
        </w:rPr>
      </w:pPr>
      <w:r>
        <w:rPr>
          <w:rFonts w:ascii="Times New Roman" w:cs="Times New Roman" w:eastAsia="Times New Roman" w:hAnsi="Times New Roman"/>
          <w:sz w:val="12"/>
          <w:szCs w:val="12"/>
          <w:color w:val="auto"/>
        </w:rPr>
        <w:t>our exposure to cybersecurity risks, including misappropriation of customer information or other breaches of information security; the impact of future major outbreaks of contagious diseases;</w:t>
      </w:r>
    </w:p>
    <w:p>
      <w:pPr>
        <w:ind w:left="440"/>
        <w:spacing w:after="0"/>
        <w:rPr>
          <w:sz w:val="20"/>
          <w:szCs w:val="20"/>
          <w:color w:val="auto"/>
        </w:rPr>
      </w:pPr>
      <w:r>
        <w:rPr>
          <w:rFonts w:ascii="Times New Roman" w:cs="Times New Roman" w:eastAsia="Times New Roman" w:hAnsi="Times New Roman"/>
          <w:sz w:val="12"/>
          <w:szCs w:val="12"/>
          <w:color w:val="auto"/>
        </w:rPr>
        <w:t>the availability of employees and/or their ability or willingness to conduct work under any revised work environment protocols;</w:t>
      </w:r>
    </w:p>
    <w:p>
      <w:pPr>
        <w:spacing w:after="0" w:line="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increased risks related to employee matters, including increased employment litigation and claims relating to terminations or furloughs caused by cinema and ETC closures;</w:t>
      </w:r>
    </w:p>
    <w:p>
      <w:pPr>
        <w:spacing w:after="0" w:line="4" w:lineRule="exact"/>
        <w:rPr>
          <w:sz w:val="20"/>
          <w:szCs w:val="20"/>
          <w:color w:val="auto"/>
        </w:rPr>
      </w:pPr>
    </w:p>
    <w:p>
      <w:pPr>
        <w:ind w:left="660" w:right="20"/>
        <w:spacing w:after="0" w:line="243" w:lineRule="auto"/>
        <w:rPr>
          <w:sz w:val="20"/>
          <w:szCs w:val="20"/>
          <w:color w:val="auto"/>
        </w:rPr>
      </w:pPr>
      <w:r>
        <w:rPr>
          <w:rFonts w:ascii="Times New Roman" w:cs="Times New Roman" w:eastAsia="Times New Roman" w:hAnsi="Times New Roman"/>
          <w:sz w:val="12"/>
          <w:szCs w:val="12"/>
          <w:color w:val="auto"/>
        </w:rPr>
        <w:t>our ability to generate significant cash flow from operations if our cinemas and/or ETCs continue to experience demand at levels significantly lower than historical levels, which could lead to a substantial increase in indebtedness and negatively impact our ability to comply with the financial covenants, if applicable, in our debt agreements;</w:t>
      </w:r>
    </w:p>
    <w:p>
      <w:pPr>
        <w:ind w:left="440"/>
        <w:spacing w:after="0"/>
        <w:rPr>
          <w:sz w:val="20"/>
          <w:szCs w:val="20"/>
          <w:color w:val="auto"/>
        </w:rPr>
      </w:pPr>
      <w:r>
        <w:rPr>
          <w:rFonts w:ascii="Times New Roman" w:cs="Times New Roman" w:eastAsia="Times New Roman" w:hAnsi="Times New Roman"/>
          <w:sz w:val="12"/>
          <w:szCs w:val="12"/>
          <w:color w:val="auto"/>
        </w:rPr>
        <w:t>our ability to comply with credit facility covenants and our ability to obtain necessary covenant waivers and necessary credit facility amendments;</w:t>
      </w:r>
    </w:p>
    <w:p>
      <w:pPr>
        <w:spacing w:after="0" w:line="1" w:lineRule="exact"/>
        <w:rPr>
          <w:sz w:val="20"/>
          <w:szCs w:val="20"/>
          <w:color w:val="auto"/>
        </w:rPr>
      </w:pPr>
    </w:p>
    <w:p>
      <w:pPr>
        <w:ind w:left="660" w:right="2280"/>
        <w:spacing w:after="0" w:line="251" w:lineRule="auto"/>
        <w:rPr>
          <w:sz w:val="20"/>
          <w:szCs w:val="20"/>
          <w:color w:val="auto"/>
        </w:rPr>
      </w:pPr>
      <w:r>
        <w:rPr>
          <w:rFonts w:ascii="Times New Roman" w:cs="Times New Roman" w:eastAsia="Times New Roman" w:hAnsi="Times New Roman"/>
          <w:sz w:val="12"/>
          <w:szCs w:val="12"/>
          <w:color w:val="auto"/>
        </w:rPr>
        <w:t>changes in future effective tax rates and the results of currently ongoing and future potential audits by taxing authorities having jurisdiction over our various companies; inflationary pressures on labor and supplies, and supply chain disruptions;</w:t>
      </w:r>
    </w:p>
    <w:p>
      <w:pPr>
        <w:ind w:left="440"/>
        <w:spacing w:after="0"/>
        <w:rPr>
          <w:sz w:val="20"/>
          <w:szCs w:val="20"/>
          <w:color w:val="auto"/>
        </w:rPr>
      </w:pPr>
      <w:r>
        <w:rPr>
          <w:rFonts w:ascii="Times New Roman" w:cs="Times New Roman" w:eastAsia="Times New Roman" w:hAnsi="Times New Roman"/>
          <w:sz w:val="12"/>
          <w:szCs w:val="12"/>
          <w:color w:val="auto"/>
        </w:rPr>
        <w:t>changes in applicable accounting policies and practices;</w:t>
      </w:r>
    </w:p>
    <w:p>
      <w:pPr>
        <w:spacing w:after="0" w:line="1" w:lineRule="exact"/>
        <w:rPr>
          <w:sz w:val="20"/>
          <w:szCs w:val="20"/>
          <w:color w:val="auto"/>
        </w:rPr>
      </w:pPr>
    </w:p>
    <w:p>
      <w:pPr>
        <w:ind w:left="660" w:right="2280"/>
        <w:spacing w:after="0" w:line="251" w:lineRule="auto"/>
        <w:rPr>
          <w:sz w:val="20"/>
          <w:szCs w:val="20"/>
          <w:color w:val="auto"/>
        </w:rPr>
      </w:pPr>
      <w:r>
        <w:rPr>
          <w:rFonts w:ascii="Times New Roman" w:cs="Times New Roman" w:eastAsia="Times New Roman" w:hAnsi="Times New Roman"/>
          <w:sz w:val="12"/>
          <w:szCs w:val="12"/>
          <w:color w:val="auto"/>
        </w:rPr>
        <w:t>changes in future effective tax rates and the results of currently ongoing and future potential audits by taxing authorities having jurisdiction over our various companies; the impact of the conflict events occurring in Eastern Europe and the threats of potential conflicts in the Asia-Pacific region;</w:t>
      </w:r>
    </w:p>
    <w:p>
      <w:pPr>
        <w:ind w:left="660" w:right="4820"/>
        <w:spacing w:after="0" w:line="258" w:lineRule="auto"/>
        <w:rPr>
          <w:sz w:val="20"/>
          <w:szCs w:val="20"/>
          <w:color w:val="auto"/>
        </w:rPr>
      </w:pPr>
      <w:r>
        <w:rPr>
          <w:rFonts w:ascii="Times New Roman" w:cs="Times New Roman" w:eastAsia="Times New Roman" w:hAnsi="Times New Roman"/>
          <w:sz w:val="12"/>
          <w:szCs w:val="12"/>
          <w:color w:val="auto"/>
        </w:rPr>
        <w:t>the impact of the conflict events occurring in Israel and the threats of other potential conflicts in the Middle East, and the impact of tariff regulations enforced by the U.S. against various nations.</w:t>
      </w:r>
    </w:p>
    <w:p>
      <w:pPr>
        <w:spacing w:after="0" w:line="108"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2"/>
          <w:szCs w:val="12"/>
          <w:color w:val="auto"/>
        </w:rPr>
        <w:t xml:space="preserve">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weather, earthquakes, pandemics, and the extent to which consumers in our markets have the economic wherewithal to spend money on beyond-the-home entertainment. Refer to </w:t>
      </w:r>
      <w:r>
        <w:rPr>
          <w:rFonts w:ascii="Times New Roman" w:cs="Times New Roman" w:eastAsia="Times New Roman" w:hAnsi="Times New Roman"/>
          <w:sz w:val="12"/>
          <w:szCs w:val="12"/>
          <w:i w:val="1"/>
          <w:iCs w:val="1"/>
          <w:color w:val="auto"/>
        </w:rPr>
        <w:t>Item 1A - Risk Factors</w:t>
      </w:r>
      <w:r>
        <w:rPr>
          <w:rFonts w:ascii="Times New Roman" w:cs="Times New Roman" w:eastAsia="Times New Roman" w:hAnsi="Times New Roman"/>
          <w:sz w:val="12"/>
          <w:szCs w:val="12"/>
          <w:color w:val="auto"/>
        </w:rPr>
        <w:t>, as well as the risk factors set forth in any other filings made under the Securities Act of 1934, as amended, including any of our Quarterly Reports on Form 10-Q, for more information.</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144145</wp:posOffset>
            </wp:positionV>
            <wp:extent cx="720026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387" w:right="299" w:bottom="1440" w:gutter="0" w:footer="0" w:header="0"/>
        </w:sectPr>
      </w:pPr>
    </w:p>
    <w:bookmarkStart w:id="47" w:name="page48"/>
    <w:bookmarkEnd w:id="47"/>
    <w:p>
      <w:pPr>
        <w:jc w:val="both"/>
        <w:ind w:right="20"/>
        <w:spacing w:after="0" w:line="266" w:lineRule="auto"/>
        <w:rPr>
          <w:sz w:val="20"/>
          <w:szCs w:val="20"/>
          <w:color w:val="auto"/>
        </w:rPr>
      </w:pPr>
      <w:r>
        <w:rPr>
          <w:rFonts w:ascii="Times New Roman" w:cs="Times New Roman" w:eastAsia="Times New Roman" w:hAnsi="Times New Roman"/>
          <w:sz w:val="12"/>
          <w:szCs w:val="12"/>
          <w:color w:val="auto"/>
        </w:rPr>
        <w:t>Given the variety and unpredictability of the factors that will ultimately influence our businesses and our results of operation,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Forward-looking statements made by us in this quarter report are based only on information currently available to us and are current only as of the date of this Quarterly Report on Form 10-Q for the period ended September 30, 2025. We undertake no obligation to publicly update or to revise any of our forward-looking statements, whether as a result of new information, future events or otherwise, except as may be required under applicable law. Accordingly, you should always note the date to which our forward-looking statements speak.</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387"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3 – Quantitative and Qualitative Disclosure about Market Risk</w:t>
      </w:r>
    </w:p>
    <w:p>
      <w:pPr>
        <w:spacing w:after="0" w:line="1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2"/>
          <w:szCs w:val="12"/>
          <w:color w:val="auto"/>
        </w:rPr>
        <w:t>The SEC requires that registrants include information about potential effects of changes in currency exchange and interest rates in their filings. Several alternatives, all with some limitations, have been offered. We base the following discussion on a sensitivity analysis that models the effects of fluctuations in currency exchange rates and interest rates. This analysis is constrained by several factors, including the following:</w:t>
      </w:r>
    </w:p>
    <w:p>
      <w:pPr>
        <w:spacing w:after="0" w:line="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It is based on a single point in time; and</w:t>
      </w:r>
    </w:p>
    <w:p>
      <w:pPr>
        <w:spacing w:after="0" w:line="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It does not include the effects of other complex market reactions that would arise from the changes modeled.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Although the results of such an analysis may be useful as a benchmark, they should not be viewed as forecasts.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Currency Risk</w:t>
      </w:r>
    </w:p>
    <w:p>
      <w:pPr>
        <w:spacing w:after="0" w:line="1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While we report our earnings and net assets in U.S. dollars, substantial portions of our revenue and of our obligations are denominated in either Australian or New Zealand dollars. The value of these currencies can vary significantly compared to the U.S. dollar and compared to each other. We do not hedge the currency risk, but rather have relied upon the natural hedges that exist as a result of the fact that our film costs are typically fixed as a percentage of the box office, and our local operating costs and obligations are likewise typically denominated in local currencies. However, we do have intercompany debt and our ability to service this debt could be adversely impacted by declines in the relative value of the Australian and New Zealand dollars compared to the U.S. dollar. Also, our use of local borrowings to mitigate the business risk of currency fluctuations has reduced our flexibility to move cash between jurisdictions. Set forth below is a chart of the exchange ratios between these two currencies in relation to US dollars since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1457325</wp:posOffset>
            </wp:positionH>
            <wp:positionV relativeFrom="paragraph">
              <wp:posOffset>77470</wp:posOffset>
            </wp:positionV>
            <wp:extent cx="4252595" cy="24307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52595" cy="2430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2"/>
          <w:szCs w:val="12"/>
          <w:color w:val="auto"/>
        </w:rPr>
        <w:t>In recent periods, we have paid material intercompany dividends and have repaid intercompany debt, using these proceeds to fund Operations and capital investment in the United States. Accordingly, our debt levels in Australia are higher than they would have been if funds had not been returned for such purposes. On a company wide basis, this means that a reduction in the relative strength of the U.S. dollar versus the Australian dollar and/or the New Zealand dollar would effectively raise the overall cost of our borrowing and capital and make it more expensive to return funds from the United States to Australia and New Zealand.</w:t>
      </w:r>
    </w:p>
    <w:p>
      <w:pPr>
        <w:spacing w:after="0" w:line="1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2"/>
          <w:szCs w:val="12"/>
          <w:color w:val="auto"/>
        </w:rPr>
        <w:t>Our Company transacts business in Australia and New Zealand and is subject to risks associated with fluctuating foreign currency exchange rates. During the third quarter of 2025, the average Australian dollar and New Zealand dollar weakened against the U.S. dollar by 2.3% and 3.1%, respectively, compared to the same prior year period.</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246" w:right="299" w:bottom="1440" w:gutter="0" w:footer="0" w:header="0"/>
        </w:sectPr>
      </w:pPr>
    </w:p>
    <w:bookmarkStart w:id="49" w:name="page50"/>
    <w:bookmarkEnd w:id="49"/>
    <w:p>
      <w:pPr>
        <w:jc w:val="both"/>
        <w:ind w:right="20"/>
        <w:spacing w:after="0" w:line="254" w:lineRule="auto"/>
        <w:rPr>
          <w:sz w:val="20"/>
          <w:szCs w:val="20"/>
          <w:color w:val="auto"/>
        </w:rPr>
      </w:pPr>
      <w:r>
        <w:rPr>
          <w:rFonts w:ascii="Times New Roman" w:cs="Times New Roman" w:eastAsia="Times New Roman" w:hAnsi="Times New Roman"/>
          <w:sz w:val="12"/>
          <w:szCs w:val="12"/>
          <w:color w:val="auto"/>
        </w:rPr>
        <w:t>At September 30, 2025, approximately 37.3% and 5.5% of our assets were invested in assets denominated in Australian dollars (Reading Entertainment Australia) and New Zealand dollars (Reading New Zealand), respectively, including approximately $5.5 million in cash and cash equivalents. At December 31, 2024, approximately 35.6% and 8.3% of our assets were invested in assets denominated in Australian dollars (Reading Entertainment Australia) and New Zealand dollars (Reading New Zealand), respectively, including approximately $7.3 million in cash and cash equivalents.</w:t>
      </w:r>
    </w:p>
    <w:p>
      <w:pPr>
        <w:spacing w:after="0" w:line="1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2"/>
          <w:szCs w:val="12"/>
          <w:color w:val="auto"/>
        </w:rPr>
        <w:t>Our policy in Australia and New Zealand is to match revenues and expenses, whenever possible, in local currencies. As a result, we have procured a majority of our expenses in Australia and New Zealand in local currencies. Despite this natural hedge, recent movements in foreign currencies have had an effect on our current earnings. The effect of the translation adjustment on our assets and liabilities noted in our other comprehensive income was a decrease of $0.8 million for the quarter ended September 30, 2025. As we continue to progress our acquisition and development activities in Australia and New Zealand, no assurances can be given that the foreign currency effect on our earnings will not be material in the future.</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Historically, our policy has been to borrow in local currencies to finance the development and construction of our long-term assets in Australia and New Zealand. As a result, the borrowings in local currencies have provided somewhat of a natural hedge against the foreign currency exchange exposure. We have also historically paid management fees to the U.S. to cover a portion of our domestic overhead. The fluctuations of the Australian and New Zealand currencies, however, may impact our ability to rely on such funding for ongoing support of our domestic overhead.</w:t>
      </w:r>
    </w:p>
    <w:p>
      <w:pPr>
        <w:spacing w:after="0" w:line="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2"/>
          <w:szCs w:val="12"/>
          <w:color w:val="auto"/>
        </w:rPr>
        <w:t>We record unrealized foreign currency translation gains or losses that could materially affect our financial position. As of September 30, 2025, and December 31, 2024, the balance of cumulative foreign currency translation adjustments were approximately a ($3.1) million loss and ($5.5) million loss,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Interest Rate Risk</w:t>
      </w:r>
    </w:p>
    <w:p>
      <w:pPr>
        <w:spacing w:after="0" w:line="1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Our exposure to interest rate risk arises out of our long-term floating-rate borrowings. To manage the risk, we utilize interest rate derivative contracts to convert certain floating-rate borrowings into fixed-rate borrowings. It is our Company’s policy to enter into interest rate derivative transactions only to the extent considered necessary to meet its objectives as stated above. Our Company does not enter into these transactions or any other hedging transactions for speculative purposes.</w:t>
      </w:r>
    </w:p>
    <w:p>
      <w:pPr>
        <w:spacing w:after="0" w:line="10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2"/>
          <w:szCs w:val="12"/>
          <w:color w:val="auto"/>
        </w:rPr>
        <w:t>Historically, we maintain most of our cash and cash equivalent balances in short-term money market instruments with original maturities of three months or less. Due to the short-term nature of such investments, a change of 1% in short-term interest rates would not have a material effect on our financial condition. The negative spread between our borrowing costs and earned interest will exacerbate as we hold cash to provide a safety net to meet our expenses.</w:t>
      </w:r>
    </w:p>
    <w:p>
      <w:pPr>
        <w:spacing w:after="0" w:line="24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2"/>
          <w:szCs w:val="12"/>
          <w:color w:val="auto"/>
        </w:rPr>
        <w:t>We have a combination of fixed and variable interest rate loans. In connection with our variable interest rate loans, a change of approximately 1% in short-term interest rates would have resulted in an approximate $414,000 increase or decrease in our quarterly interest expense.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For further discussion on market risks, please refer to </w:t>
      </w:r>
      <w:r>
        <w:rPr>
          <w:rFonts w:ascii="Times New Roman" w:cs="Times New Roman" w:eastAsia="Times New Roman" w:hAnsi="Times New Roman"/>
          <w:sz w:val="12"/>
          <w:szCs w:val="12"/>
          <w:i w:val="1"/>
          <w:iCs w:val="1"/>
          <w:color w:val="auto"/>
        </w:rPr>
        <w:t>Part I, Item 1A – Risk Factors</w:t>
      </w:r>
      <w:r>
        <w:rPr>
          <w:rFonts w:ascii="Times New Roman" w:cs="Times New Roman" w:eastAsia="Times New Roman" w:hAnsi="Times New Roman"/>
          <w:sz w:val="12"/>
          <w:szCs w:val="12"/>
          <w:color w:val="auto"/>
        </w:rPr>
        <w:t xml:space="preserve"> included on our 2024 Form 10-K.</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0"/>
          </w:cols>
          <w:pgMar w:left="300" w:top="248"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4 – Controls and Procedures</w:t>
      </w:r>
    </w:p>
    <w:p>
      <w:pPr>
        <w:spacing w:after="0" w:line="13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2"/>
          <w:szCs w:val="12"/>
          <w:color w:val="auto"/>
        </w:rPr>
        <w:t>We maintain disclosure controls and procedures that are designed to ensure that information required to be disclosed in our Company’s reports filed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our management is required to apply its judgment in evaluating the cost-benefit relationship of possible controls and procedures.</w:t>
      </w:r>
    </w:p>
    <w:p>
      <w:pPr>
        <w:spacing w:after="0" w:line="109"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2"/>
          <w:szCs w:val="12"/>
          <w:color w:val="auto"/>
        </w:rPr>
        <w:t>As previously disclosed in our Annual Report on Form 10-K for the year ended December 31, 2024, management identified a material weakness in our internal control over financial reporting related to the erroneous reversal and treatment of a liability. This material weakness existed for the periods June 30, 2024, September 30, 2024, December 31, 2024, March 31, 2025, and June 30, 2025.</w:t>
      </w:r>
    </w:p>
    <w:p>
      <w:pPr>
        <w:spacing w:after="0" w:line="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2"/>
          <w:szCs w:val="12"/>
          <w:color w:val="auto"/>
        </w:rPr>
        <w:t>During the quarter ended September 30, 2025, we completed the remediation plan for this material weakness. Remediation focused on implementing additional internal controls relating to recognition and measurement of significant transactions.</w:t>
      </w:r>
    </w:p>
    <w:p>
      <w:pPr>
        <w:spacing w:after="0" w:line="9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2"/>
          <w:szCs w:val="12"/>
          <w:color w:val="auto"/>
        </w:rPr>
        <w:t>Under the supervision and with the participation of our management, including our principal executive officer and principal financial officer, we conducted an evaluation of the above-mentioned new controls, and our disclosure controls and procedures, as such term is defined under Rule 13a-15(e) promulgated under the Exchange Act. Based upon that evaluation, we concluded that, as of September 30, 2025, our disclosure controls and procedures were effective, and that the material weakness has been remediated as of September 30, 2025.</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13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2"/>
          <w:szCs w:val="12"/>
          <w:color w:val="auto"/>
        </w:rPr>
        <w:t>Other than the remediation described above, there were no other changes in our internal control over financial reporting (as defined in Rule 13a-15(f) and 15d-15(f) under the Exchange Act) that occurred during the third quarter ended September 30, 2025, that have materially affected, or are reasonably likely to materially affect, our internal control over financial reporting.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144145</wp:posOffset>
            </wp:positionV>
            <wp:extent cx="720026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280"/>
          </w:cols>
          <w:pgMar w:left="300" w:top="246"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PART II – Other Information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1 – Legal Proceedings</w:t>
      </w:r>
    </w:p>
    <w:p>
      <w:pPr>
        <w:spacing w:after="0" w:line="13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2"/>
          <w:szCs w:val="12"/>
          <w:color w:val="auto"/>
        </w:rPr>
        <w:t xml:space="preserve">The information required under Part II, Item 1 </w:t>
      </w:r>
      <w:r>
        <w:rPr>
          <w:rFonts w:ascii="Times New Roman" w:cs="Times New Roman" w:eastAsia="Times New Roman" w:hAnsi="Times New Roman"/>
          <w:sz w:val="12"/>
          <w:szCs w:val="12"/>
          <w:i w:val="1"/>
          <w:iCs w:val="1"/>
          <w:color w:val="auto"/>
        </w:rPr>
        <w:t>(Legal Proceedings)</w:t>
      </w:r>
      <w:r>
        <w:rPr>
          <w:rFonts w:ascii="Times New Roman" w:cs="Times New Roman" w:eastAsia="Times New Roman" w:hAnsi="Times New Roman"/>
          <w:sz w:val="12"/>
          <w:szCs w:val="12"/>
          <w:color w:val="auto"/>
        </w:rPr>
        <w:t xml:space="preserve"> is incorporated by reference to the information contained in </w:t>
      </w:r>
      <w:r>
        <w:rPr>
          <w:rFonts w:ascii="Times New Roman" w:cs="Times New Roman" w:eastAsia="Times New Roman" w:hAnsi="Times New Roman"/>
          <w:sz w:val="12"/>
          <w:szCs w:val="12"/>
          <w:i w:val="1"/>
          <w:iCs w:val="1"/>
          <w:color w:val="auto"/>
        </w:rPr>
        <w:t>Notes to Consolidated Financial Statements-- Note 16 – Commitments and Contingencies</w:t>
      </w:r>
      <w:r>
        <w:rPr>
          <w:rFonts w:ascii="Times New Roman" w:cs="Times New Roman" w:eastAsia="Times New Roman" w:hAnsi="Times New Roman"/>
          <w:sz w:val="12"/>
          <w:szCs w:val="12"/>
          <w:color w:val="auto"/>
        </w:rPr>
        <w:t xml:space="preserve"> included herein in </w:t>
      </w:r>
      <w:r>
        <w:rPr>
          <w:rFonts w:ascii="Times New Roman" w:cs="Times New Roman" w:eastAsia="Times New Roman" w:hAnsi="Times New Roman"/>
          <w:sz w:val="12"/>
          <w:szCs w:val="12"/>
          <w:i w:val="1"/>
          <w:iCs w:val="1"/>
          <w:color w:val="auto"/>
        </w:rPr>
        <w:t>Part I – Financial Information, Item 1 – Financial Statements</w:t>
      </w:r>
      <w:r>
        <w:rPr>
          <w:rFonts w:ascii="Times New Roman" w:cs="Times New Roman" w:eastAsia="Times New Roman" w:hAnsi="Times New Roman"/>
          <w:sz w:val="12"/>
          <w:szCs w:val="12"/>
          <w:color w:val="auto"/>
        </w:rPr>
        <w:t xml:space="preserve"> on this Quarterly Report on Form 10-Q.</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For further details on our legal proceedings, please refer to </w:t>
      </w:r>
      <w:r>
        <w:rPr>
          <w:rFonts w:ascii="Times New Roman" w:cs="Times New Roman" w:eastAsia="Times New Roman" w:hAnsi="Times New Roman"/>
          <w:sz w:val="12"/>
          <w:szCs w:val="12"/>
          <w:i w:val="1"/>
          <w:iCs w:val="1"/>
          <w:color w:val="auto"/>
        </w:rPr>
        <w:t>Part I, Item 3 – Legal Proceedings,</w:t>
      </w:r>
      <w:r>
        <w:rPr>
          <w:rFonts w:ascii="Times New Roman" w:cs="Times New Roman" w:eastAsia="Times New Roman" w:hAnsi="Times New Roman"/>
          <w:sz w:val="12"/>
          <w:szCs w:val="12"/>
          <w:color w:val="auto"/>
        </w:rPr>
        <w:t xml:space="preserve"> contained in our 2024 Form 10-K.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1A – Risk Factors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have been no material changes to the risk factors we previously disclosed in Item 1A of our 2024 Form 10-K.</w:t>
      </w:r>
    </w:p>
    <w:p>
      <w:pPr>
        <w:spacing w:after="0" w:line="1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2"/>
          <w:szCs w:val="12"/>
          <w:color w:val="auto"/>
        </w:rPr>
        <w:t>We encourage investors to review the risks and uncertainties relating to our business disclosed under the heading Risk Factors or otherwise in the 2024 Form 10-K, as well as those contained in Part I – Forward-Looking Statements thereof, as revised or supplemented by our Quarterly Reports filed with the SEC since the filing of the 2024 Form 10-K.</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2 – Sales of Equity Securities and Use of Proceeds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3 – Defaults upon Senior Securities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4 – Mine Safety Disclosure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5 – Other Information</w:t>
      </w:r>
    </w:p>
    <w:p>
      <w:pPr>
        <w:spacing w:after="0" w:line="1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2"/>
          <w:szCs w:val="12"/>
          <w:color w:val="auto"/>
        </w:rPr>
        <w:t>During the quarter ended September 30, 2025, no director or officer of the Company adopted or terminated a “Rule 10b5-1 trading arrangement” or a “non-Rule 10b5-1 trading arrangement” (in each case, as defined in Item 408 of Regulation S-K).</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0026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280"/>
          </w:cols>
          <w:pgMar w:left="300" w:top="246" w:right="319" w:bottom="1440" w:gutter="0" w:footer="0" w:header="0"/>
        </w:sectPr>
      </w:pPr>
    </w:p>
    <w:bookmarkStart w:id="52" w:name="page53"/>
    <w:bookmarkEnd w:id="52"/>
    <w:tbl>
      <w:tblPr>
        <w:tblLayout w:type="fixed"/>
        <w:tblInd w:w="5" w:type="dxa"/>
        <w:tblCellMar>
          <w:top w:w="0" w:type="dxa"/>
          <w:left w:w="0" w:type="dxa"/>
          <w:bottom w:w="0" w:type="dxa"/>
          <w:right w:w="0" w:type="dxa"/>
        </w:tblCellMar>
      </w:tblPr>
      <w:tr>
        <w:trPr>
          <w:trHeight w:val="138"/>
        </w:trPr>
        <w:tc>
          <w:tcPr>
            <w:tcW w:w="1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6 – Exhibits</w:t>
            </w:r>
          </w:p>
        </w:tc>
        <w:tc>
          <w:tcPr>
            <w:tcW w:w="3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3"/>
        </w:trPr>
        <w:tc>
          <w:tcPr>
            <w:tcW w:w="9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90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10.1*</w:t>
            </w:r>
          </w:p>
        </w:tc>
        <w:tc>
          <w:tcPr>
            <w:tcW w:w="540" w:type="dxa"/>
            <w:vAlign w:val="bottom"/>
            <w:tcBorders>
              <w:right w:val="single" w:sz="8" w:color="CCEEFF"/>
            </w:tcBorders>
            <w:shd w:val="clear" w:color="auto" w:fill="CCEEFF"/>
          </w:tcPr>
          <w:p>
            <w:pPr>
              <w:spacing w:after="0"/>
              <w:rPr>
                <w:sz w:val="9"/>
                <w:szCs w:val="9"/>
                <w:color w:val="auto"/>
              </w:rPr>
            </w:pPr>
          </w:p>
        </w:tc>
        <w:tc>
          <w:tcPr>
            <w:tcW w:w="9860" w:type="dxa"/>
            <w:vAlign w:val="bottom"/>
            <w:gridSpan w:val="5"/>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0000FF"/>
              </w:rPr>
              <w:t>Waiver and Tenth Amendment to Second Amendment and Restated Credit Agreement, dated July 3, 2025, between Consolidated Amusement Holdings, LLC and Bank of America, N.A</w:t>
            </w:r>
          </w:p>
        </w:tc>
        <w:tc>
          <w:tcPr>
            <w:tcW w:w="0" w:type="dxa"/>
            <w:vAlign w:val="bottom"/>
          </w:tcPr>
          <w:p>
            <w:pPr>
              <w:spacing w:after="0"/>
              <w:rPr>
                <w:sz w:val="1"/>
                <w:szCs w:val="1"/>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36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440" w:type="dxa"/>
            <w:vAlign w:val="bottom"/>
            <w:gridSpan w:val="2"/>
          </w:tcPr>
          <w:p>
            <w:pPr>
              <w:spacing w:after="0" w:line="111" w:lineRule="exact"/>
              <w:rPr>
                <w:sz w:val="20"/>
                <w:szCs w:val="20"/>
                <w:color w:val="auto"/>
              </w:rPr>
            </w:pPr>
            <w:r>
              <w:rPr>
                <w:rFonts w:ascii="Times New Roman" w:cs="Times New Roman" w:eastAsia="Times New Roman" w:hAnsi="Times New Roman"/>
                <w:sz w:val="12"/>
                <w:szCs w:val="12"/>
                <w:color w:val="auto"/>
              </w:rPr>
              <w:t>10.2*</w:t>
            </w:r>
            <w:r>
              <w:rPr>
                <w:rFonts w:ascii="Times New Roman" w:cs="Times New Roman" w:eastAsia="Times New Roman" w:hAnsi="Times New Roman"/>
                <w:sz w:val="11"/>
                <w:szCs w:val="11"/>
                <w:color w:val="auto"/>
              </w:rPr>
              <w:t>†</w:t>
            </w:r>
          </w:p>
        </w:tc>
        <w:tc>
          <w:tcPr>
            <w:tcW w:w="9860" w:type="dxa"/>
            <w:vAlign w:val="bottom"/>
            <w:gridSpan w:val="5"/>
          </w:tcPr>
          <w:p>
            <w:pPr>
              <w:spacing w:after="0" w:line="111" w:lineRule="exact"/>
              <w:rPr>
                <w:sz w:val="20"/>
                <w:szCs w:val="20"/>
                <w:color w:val="auto"/>
              </w:rPr>
            </w:pPr>
            <w:r>
              <w:rPr>
                <w:rFonts w:ascii="Times New Roman" w:cs="Times New Roman" w:eastAsia="Times New Roman" w:hAnsi="Times New Roman"/>
                <w:sz w:val="12"/>
                <w:szCs w:val="12"/>
                <w:color w:val="0000FF"/>
              </w:rPr>
              <w:t>Form of Stock Option Agreement (Employee/Executive Officer) under the 2020 Stock Incentive Plan</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90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31.1*</w:t>
            </w:r>
          </w:p>
        </w:tc>
        <w:tc>
          <w:tcPr>
            <w:tcW w:w="540" w:type="dxa"/>
            <w:vAlign w:val="bottom"/>
            <w:tcBorders>
              <w:right w:val="single" w:sz="8" w:color="CCEEFF"/>
            </w:tcBorders>
            <w:shd w:val="clear" w:color="auto" w:fill="CCEEFF"/>
          </w:tcPr>
          <w:p>
            <w:pPr>
              <w:spacing w:after="0"/>
              <w:rPr>
                <w:sz w:val="9"/>
                <w:szCs w:val="9"/>
                <w:color w:val="auto"/>
              </w:rPr>
            </w:pPr>
          </w:p>
        </w:tc>
        <w:tc>
          <w:tcPr>
            <w:tcW w:w="9860" w:type="dxa"/>
            <w:vAlign w:val="bottom"/>
            <w:gridSpan w:val="5"/>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0000FF"/>
              </w:rPr>
              <w:t>Certification of the Principal Executive Officer Pursuant to Section 302 of the Sarbanes-Oxley Act of 2002.</w:t>
            </w:r>
          </w:p>
        </w:tc>
        <w:tc>
          <w:tcPr>
            <w:tcW w:w="0" w:type="dxa"/>
            <w:vAlign w:val="bottom"/>
          </w:tcPr>
          <w:p>
            <w:pPr>
              <w:spacing w:after="0"/>
              <w:rPr>
                <w:sz w:val="1"/>
                <w:szCs w:val="1"/>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36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80" w:type="dxa"/>
            <w:vAlign w:val="bottom"/>
            <w:tcBorders>
              <w:left w:val="single" w:sz="8" w:color="0000FF"/>
            </w:tcBorders>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90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31.2*</w:t>
            </w:r>
          </w:p>
        </w:tc>
        <w:tc>
          <w:tcPr>
            <w:tcW w:w="540" w:type="dxa"/>
            <w:vAlign w:val="bottom"/>
          </w:tcPr>
          <w:p>
            <w:pPr>
              <w:spacing w:after="0"/>
              <w:rPr>
                <w:sz w:val="9"/>
                <w:szCs w:val="9"/>
                <w:color w:val="auto"/>
              </w:rPr>
            </w:pPr>
          </w:p>
        </w:tc>
        <w:tc>
          <w:tcPr>
            <w:tcW w:w="9860" w:type="dxa"/>
            <w:vAlign w:val="bottom"/>
            <w:gridSpan w:val="5"/>
          </w:tcPr>
          <w:p>
            <w:pPr>
              <w:spacing w:after="0" w:line="111" w:lineRule="exact"/>
              <w:rPr>
                <w:sz w:val="20"/>
                <w:szCs w:val="20"/>
                <w:color w:val="auto"/>
              </w:rPr>
            </w:pPr>
            <w:r>
              <w:rPr>
                <w:rFonts w:ascii="Times New Roman" w:cs="Times New Roman" w:eastAsia="Times New Roman" w:hAnsi="Times New Roman"/>
                <w:sz w:val="12"/>
                <w:szCs w:val="12"/>
                <w:color w:val="0000FF"/>
              </w:rPr>
              <w:t>Certification of the Principal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line="130" w:lineRule="exact"/>
              <w:rPr>
                <w:sz w:val="20"/>
                <w:szCs w:val="20"/>
                <w:color w:val="auto"/>
              </w:rPr>
            </w:pPr>
            <w:r>
              <w:rPr>
                <w:rFonts w:ascii="Times New Roman" w:cs="Times New Roman" w:eastAsia="Times New Roman" w:hAnsi="Times New Roman"/>
                <w:sz w:val="12"/>
                <w:szCs w:val="12"/>
                <w:color w:val="auto"/>
              </w:rPr>
              <w:t>32**</w:t>
            </w:r>
          </w:p>
        </w:tc>
        <w:tc>
          <w:tcPr>
            <w:tcW w:w="540" w:type="dxa"/>
            <w:vAlign w:val="bottom"/>
            <w:tcBorders>
              <w:right w:val="single" w:sz="8" w:color="0000EE"/>
            </w:tcBorders>
          </w:tcPr>
          <w:p>
            <w:pPr>
              <w:spacing w:after="0" w:line="20" w:lineRule="exact"/>
              <w:rPr>
                <w:sz w:val="1"/>
                <w:szCs w:val="1"/>
                <w:color w:val="auto"/>
              </w:rPr>
            </w:pPr>
          </w:p>
        </w:tc>
        <w:tc>
          <w:tcPr>
            <w:tcW w:w="36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45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9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5300" w:type="dxa"/>
            <w:vAlign w:val="bottom"/>
            <w:gridSpan w:val="3"/>
          </w:tcPr>
          <w:p>
            <w:pPr>
              <w:spacing w:after="0" w:line="111" w:lineRule="exact"/>
              <w:rPr>
                <w:sz w:val="20"/>
                <w:szCs w:val="20"/>
                <w:color w:val="auto"/>
              </w:rPr>
            </w:pPr>
            <w:r>
              <w:rPr>
                <w:rFonts w:ascii="Times New Roman" w:cs="Times New Roman" w:eastAsia="Times New Roman" w:hAnsi="Times New Roman"/>
                <w:sz w:val="12"/>
                <w:szCs w:val="12"/>
                <w:color w:val="0000FF"/>
              </w:rPr>
              <w:t>Certifications Pursuant to Section 906 of the Sarbanes-Oxley Act of 2002.</w:t>
            </w:r>
          </w:p>
        </w:tc>
        <w:tc>
          <w:tcPr>
            <w:tcW w:w="4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3680" w:type="dxa"/>
            <w:vAlign w:val="bottom"/>
            <w:tcBorders>
              <w:right w:val="single" w:sz="8" w:color="0000EE"/>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74865" cy="825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82550"/>
                    </a:xfrm>
                    <a:prstGeom prst="rect">
                      <a:avLst/>
                    </a:prstGeom>
                    <a:noFill/>
                  </pic:spPr>
                </pic:pic>
              </a:graphicData>
            </a:graphic>
          </wp:anchor>
        </w:drawing>
      </w:r>
    </w:p>
    <w:p>
      <w:pPr>
        <w:ind w:left="1425" w:right="80" w:hanging="1416"/>
        <w:spacing w:after="0" w:line="232" w:lineRule="auto"/>
        <w:tabs>
          <w:tab w:leader="none" w:pos="1425"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material from our Company’s Quarterly Report on Form 10-Q for the quarter ended June 30, 2025, formatted in iXBRL (Inline Extensible Business Reporting Language): (i) Consolidated Balance Sheets, (ii) Consolidated Statements of Income, (iii) Consolidated Statements of Comprehensive Income, (iv) Consolidated Statements of Cash Flows, and (v) the Notes to the Consolidated Financial Statements.</w:t>
      </w:r>
    </w:p>
    <w:p>
      <w:pPr>
        <w:spacing w:after="0" w:line="2" w:lineRule="exact"/>
        <w:rPr>
          <w:sz w:val="20"/>
          <w:szCs w:val="20"/>
          <w:color w:val="auto"/>
        </w:rPr>
      </w:pPr>
    </w:p>
    <w:tbl>
      <w:tblPr>
        <w:tblLayout w:type="fixed"/>
        <w:tblInd w:w="5" w:type="dxa"/>
        <w:tblCellMar>
          <w:top w:w="0" w:type="dxa"/>
          <w:left w:w="0" w:type="dxa"/>
          <w:bottom w:w="0" w:type="dxa"/>
          <w:right w:w="0" w:type="dxa"/>
        </w:tblCellMar>
      </w:tblPr>
      <w:tr>
        <w:trPr>
          <w:trHeight w:val="139"/>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104</w:t>
            </w:r>
          </w:p>
        </w:tc>
        <w:tc>
          <w:tcPr>
            <w:tcW w:w="10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Cover Page Interactive Data File (formatted in iXBRL and contained in Exhibit 101)</w:t>
            </w:r>
          </w:p>
        </w:tc>
      </w:tr>
      <w:tr>
        <w:trPr>
          <w:trHeight w:val="242"/>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___________________</w:t>
            </w:r>
          </w:p>
        </w:tc>
        <w:tc>
          <w:tcPr>
            <w:tcW w:w="10000" w:type="dxa"/>
            <w:vAlign w:val="bottom"/>
          </w:tcPr>
          <w:p>
            <w:pPr>
              <w:spacing w:after="0"/>
              <w:rPr>
                <w:sz w:val="21"/>
                <w:szCs w:val="21"/>
                <w:color w:val="auto"/>
              </w:rPr>
            </w:pPr>
          </w:p>
        </w:tc>
      </w:tr>
      <w:tr>
        <w:trPr>
          <w:trHeight w:val="121"/>
        </w:trPr>
        <w:tc>
          <w:tcPr>
            <w:tcW w:w="130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  Filed herewith</w:t>
            </w:r>
          </w:p>
        </w:tc>
        <w:tc>
          <w:tcPr>
            <w:tcW w:w="10000" w:type="dxa"/>
            <w:vAlign w:val="bottom"/>
          </w:tcPr>
          <w:p>
            <w:pPr>
              <w:spacing w:after="0"/>
              <w:rPr>
                <w:sz w:val="10"/>
                <w:szCs w:val="10"/>
                <w:color w:val="auto"/>
              </w:rPr>
            </w:pPr>
          </w:p>
        </w:tc>
      </w:tr>
      <w:tr>
        <w:trPr>
          <w:trHeight w:val="146"/>
        </w:trPr>
        <w:tc>
          <w:tcPr>
            <w:tcW w:w="1300" w:type="dxa"/>
            <w:vAlign w:val="bottom"/>
          </w:tcPr>
          <w:p>
            <w:pPr>
              <w:spacing w:after="0"/>
              <w:rPr>
                <w:sz w:val="20"/>
                <w:szCs w:val="20"/>
                <w:color w:val="auto"/>
              </w:rPr>
            </w:pPr>
            <w:r>
              <w:rPr>
                <w:rFonts w:ascii="Times New Roman" w:cs="Times New Roman" w:eastAsia="Times New Roman" w:hAnsi="Times New Roman"/>
                <w:sz w:val="11"/>
                <w:szCs w:val="11"/>
                <w:color w:val="auto"/>
              </w:rPr>
              <w:t>** Furnished herewith</w:t>
            </w:r>
          </w:p>
        </w:tc>
        <w:tc>
          <w:tcPr>
            <w:tcW w:w="10000" w:type="dxa"/>
            <w:vAlign w:val="bottom"/>
          </w:tcPr>
          <w:p>
            <w:pPr>
              <w:spacing w:after="0"/>
              <w:rPr>
                <w:sz w:val="12"/>
                <w:szCs w:val="12"/>
                <w:color w:val="auto"/>
              </w:rPr>
            </w:pPr>
          </w:p>
        </w:tc>
      </w:tr>
    </w:tbl>
    <w:p>
      <w:pPr>
        <w:spacing w:after="0" w:line="97" w:lineRule="exact"/>
        <w:rPr>
          <w:sz w:val="20"/>
          <w:szCs w:val="20"/>
          <w:color w:val="auto"/>
        </w:rPr>
      </w:pPr>
    </w:p>
    <w:p>
      <w:pPr>
        <w:ind w:left="5" w:right="20" w:hanging="5"/>
        <w:spacing w:after="0" w:line="266" w:lineRule="auto"/>
        <w:tabs>
          <w:tab w:leader="none" w:pos="91"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Certain portions of this exhibit have been omitted pursuant to Items 601(a)(5) and 601(b)(10)(iv) of Regulation S-K. Information in this exhibit that has been omitted has been noted in this document with a placeholder identified by the mark “[***]”. The Company hereby agrees to furnish a copy of any omitted schedules or exhibits to the SEC upon request.”</w:t>
      </w:r>
    </w:p>
    <w:p>
      <w:pPr>
        <w:spacing w:after="0" w:line="35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144145</wp:posOffset>
            </wp:positionV>
            <wp:extent cx="720026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0265" cy="37465"/>
                    </a:xfrm>
                    <a:prstGeom prst="rect">
                      <a:avLst/>
                    </a:prstGeom>
                    <a:noFill/>
                  </pic:spPr>
                </pic:pic>
              </a:graphicData>
            </a:graphic>
          </wp:anchor>
        </w:drawing>
      </w:r>
    </w:p>
    <w:p>
      <w:pPr>
        <w:sectPr>
          <w:pgSz w:w="11900" w:h="16838" w:orient="portrait"/>
          <w:cols w:equalWidth="0" w:num="1">
            <w:col w:w="11305"/>
          </w:cols>
          <w:pgMar w:left="295" w:top="113" w:right="299" w:bottom="1440" w:gutter="0" w:footer="0" w:header="0"/>
        </w:sectPr>
      </w:pPr>
    </w:p>
    <w:bookmarkStart w:id="53" w:name="page54"/>
    <w:bookmarkEnd w:id="53"/>
    <w:p>
      <w:pPr>
        <w:ind w:left="5240"/>
        <w:spacing w:after="0"/>
        <w:rPr>
          <w:sz w:val="20"/>
          <w:szCs w:val="20"/>
          <w:color w:val="auto"/>
        </w:rPr>
      </w:pPr>
      <w:r>
        <w:rPr>
          <w:rFonts w:ascii="Times New Roman" w:cs="Times New Roman" w:eastAsia="Times New Roman" w:hAnsi="Times New Roman"/>
          <w:sz w:val="12"/>
          <w:szCs w:val="12"/>
          <w:b w:val="1"/>
          <w:bCs w:val="1"/>
          <w:u w:val="single" w:color="auto"/>
          <w:color w:val="auto"/>
        </w:rPr>
        <w:t>SIGNATURES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2"/>
          <w:szCs w:val="12"/>
          <w:b w:val="1"/>
          <w:bCs w:val="1"/>
          <w:u w:val="single" w:color="auto"/>
          <w:color w:val="auto"/>
        </w:rPr>
        <w:t>READING INTERNATIONAL, INC.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November 14,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u w:val="single" w:color="auto"/>
          <w:color w:val="auto"/>
        </w:rPr>
        <w:t>/s/ Ellen M. Cotter</w:t>
      </w:r>
    </w:p>
    <w:p>
      <w:pPr>
        <w:spacing w:after="0" w:line="237" w:lineRule="auto"/>
        <w:rPr>
          <w:sz w:val="20"/>
          <w:szCs w:val="20"/>
          <w:color w:val="auto"/>
        </w:rPr>
      </w:pPr>
      <w:r>
        <w:rPr>
          <w:rFonts w:ascii="Times New Roman" w:cs="Times New Roman" w:eastAsia="Times New Roman" w:hAnsi="Times New Roman"/>
          <w:sz w:val="12"/>
          <w:szCs w:val="12"/>
          <w:color w:val="auto"/>
        </w:rPr>
        <w:t>Ellen M. Cotter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November 14,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u w:val="single" w:color="auto"/>
          <w:color w:val="auto"/>
        </w:rPr>
        <w:t>/s/ Gilbert Avanes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Gilbert Avanes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Executive Vice President, Chief Financial Officer and Treasurer</w:t>
      </w:r>
    </w:p>
    <w:p>
      <w:pPr>
        <w:spacing w:after="0" w:line="3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54</w:t>
      </w:r>
    </w:p>
    <w:p>
      <w:pPr>
        <w:sectPr>
          <w:pgSz w:w="11900" w:h="16838" w:orient="portrait"/>
          <w:cols w:equalWidth="0" w:num="1">
            <w:col w:w="10159"/>
          </w:cols>
          <w:pgMar w:left="300" w:top="246" w:right="1440" w:bottom="1440" w:gutter="0" w:footer="0" w:header="0"/>
        </w:sectPr>
      </w:pPr>
    </w:p>
    <w:bookmarkStart w:id="54" w:name="page55"/>
    <w:bookmarkEnd w:id="54"/>
    <w:p>
      <w:pPr>
        <w:ind w:left="8120"/>
        <w:spacing w:after="0"/>
        <w:rPr>
          <w:sz w:val="20"/>
          <w:szCs w:val="20"/>
          <w:color w:val="auto"/>
        </w:rPr>
      </w:pPr>
      <w:r>
        <w:rPr>
          <w:rFonts w:ascii="Times New Roman" w:cs="Times New Roman" w:eastAsia="Times New Roman" w:hAnsi="Times New Roman"/>
          <w:sz w:val="15"/>
          <w:szCs w:val="15"/>
          <w:b w:val="1"/>
          <w:bCs w:val="1"/>
          <w:color w:val="auto"/>
        </w:rPr>
        <w:t>EXECUTION VERSION</w:t>
      </w:r>
    </w:p>
    <w:p>
      <w:pPr>
        <w:spacing w:after="0" w:line="1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b w:val="1"/>
          <w:bCs w:val="1"/>
          <w:u w:val="single" w:color="auto"/>
          <w:color w:val="auto"/>
        </w:rPr>
        <w:t>PORTIONS OF THIS EXHIBIT HAVE BEEN OMITTED BECAUSE THEY ARE BOTH (I) NOT MATERIAL AND (II) WOULD BE COMPETITIVELY HARMFUL IF PUBLICLY DISCLOSED. INFORMATION THAT HAS BEEN OMITTED HAS BEEN NOTED IN THIS DOCUMENT WITH A PLACEHOLDER IDENTIFIED BY THE MARK “[***]”</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TENTH AMENDMENT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SECOND AMENDED AND RESTATED CREDIT AGREEMENT</w:t>
      </w:r>
    </w:p>
    <w:p>
      <w:pPr>
        <w:spacing w:after="0" w:line="2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THIS TENTH AMENDMENT TO SECOND AMENDED AND RESTATED CREDIT</w:t>
      </w:r>
    </w:p>
    <w:p>
      <w:pPr>
        <w:spacing w:after="0" w:line="11" w:lineRule="exact"/>
        <w:rPr>
          <w:sz w:val="20"/>
          <w:szCs w:val="20"/>
          <w:color w:val="auto"/>
        </w:rPr>
      </w:pPr>
    </w:p>
    <w:p>
      <w:pPr>
        <w:jc w:val="both"/>
        <w:ind w:left="220" w:right="220"/>
        <w:spacing w:after="0" w:line="237" w:lineRule="auto"/>
        <w:rPr>
          <w:sz w:val="20"/>
          <w:szCs w:val="20"/>
          <w:color w:val="auto"/>
        </w:rPr>
      </w:pPr>
      <w:r>
        <w:rPr>
          <w:rFonts w:ascii="Times New Roman" w:cs="Times New Roman" w:eastAsia="Times New Roman" w:hAnsi="Times New Roman"/>
          <w:sz w:val="14"/>
          <w:szCs w:val="14"/>
          <w:color w:val="auto"/>
        </w:rPr>
        <w:t>AGREEMENT (this “</w:t>
      </w:r>
      <w:r>
        <w:rPr>
          <w:rFonts w:ascii="Times New Roman" w:cs="Times New Roman" w:eastAsia="Times New Roman" w:hAnsi="Times New Roman"/>
          <w:sz w:val="14"/>
          <w:szCs w:val="14"/>
          <w:u w:val="single" w:color="auto"/>
          <w:color w:val="auto"/>
        </w:rPr>
        <w:t>Tenth Amendment</w:t>
      </w:r>
      <w:r>
        <w:rPr>
          <w:rFonts w:ascii="Times New Roman" w:cs="Times New Roman" w:eastAsia="Times New Roman" w:hAnsi="Times New Roman"/>
          <w:sz w:val="14"/>
          <w:szCs w:val="14"/>
          <w:color w:val="auto"/>
        </w:rPr>
        <w:t>”), dated as of July 3, 2025, is entered into by and among Consolidated Amusement Holdings, LLC, a Nevada limited liability company (the “</w:t>
      </w:r>
      <w:r>
        <w:rPr>
          <w:rFonts w:ascii="Times New Roman" w:cs="Times New Roman" w:eastAsia="Times New Roman" w:hAnsi="Times New Roman"/>
          <w:sz w:val="14"/>
          <w:szCs w:val="14"/>
          <w:u w:val="single" w:color="auto"/>
          <w:color w:val="auto"/>
        </w:rPr>
        <w:t>Borrower</w:t>
      </w:r>
      <w:r>
        <w:rPr>
          <w:rFonts w:ascii="Times New Roman" w:cs="Times New Roman" w:eastAsia="Times New Roman" w:hAnsi="Times New Roman"/>
          <w:sz w:val="14"/>
          <w:szCs w:val="14"/>
          <w:color w:val="auto"/>
        </w:rPr>
        <w:t>”), the Affiliates of the Borrower identified on the signature pages hereto (collectively, the “</w:t>
      </w:r>
      <w:r>
        <w:rPr>
          <w:rFonts w:ascii="Times New Roman" w:cs="Times New Roman" w:eastAsia="Times New Roman" w:hAnsi="Times New Roman"/>
          <w:sz w:val="14"/>
          <w:szCs w:val="14"/>
          <w:u w:val="single" w:color="auto"/>
          <w:color w:val="auto"/>
        </w:rPr>
        <w:t>Guarantors</w:t>
      </w:r>
      <w:r>
        <w:rPr>
          <w:rFonts w:ascii="Times New Roman" w:cs="Times New Roman" w:eastAsia="Times New Roman" w:hAnsi="Times New Roman"/>
          <w:sz w:val="14"/>
          <w:szCs w:val="14"/>
          <w:color w:val="auto"/>
        </w:rPr>
        <w:t>”), the financial institutions identified on the signature pages hereto (collectively, the “</w:t>
      </w:r>
      <w:r>
        <w:rPr>
          <w:rFonts w:ascii="Times New Roman" w:cs="Times New Roman" w:eastAsia="Times New Roman" w:hAnsi="Times New Roman"/>
          <w:sz w:val="14"/>
          <w:szCs w:val="14"/>
          <w:u w:val="single" w:color="auto"/>
          <w:color w:val="auto"/>
        </w:rPr>
        <w:t>Lenders</w:t>
      </w:r>
      <w:r>
        <w:rPr>
          <w:rFonts w:ascii="Times New Roman" w:cs="Times New Roman" w:eastAsia="Times New Roman" w:hAnsi="Times New Roman"/>
          <w:sz w:val="14"/>
          <w:szCs w:val="14"/>
          <w:color w:val="auto"/>
        </w:rPr>
        <w:t>”), and Bank of America, N.A., as Administrative Agent, Swingline Lender and L/C Issuer, with reference to the following facts: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RECITALS</w:t>
      </w:r>
    </w:p>
    <w:p>
      <w:pPr>
        <w:spacing w:after="0" w:line="225" w:lineRule="exact"/>
        <w:rPr>
          <w:sz w:val="20"/>
          <w:szCs w:val="20"/>
          <w:color w:val="auto"/>
        </w:rPr>
      </w:pPr>
    </w:p>
    <w:p>
      <w:pPr>
        <w:jc w:val="both"/>
        <w:ind w:left="220" w:right="220" w:firstLine="447"/>
        <w:spacing w:after="0" w:line="238" w:lineRule="auto"/>
        <w:rPr>
          <w:sz w:val="20"/>
          <w:szCs w:val="20"/>
          <w:color w:val="auto"/>
        </w:rPr>
      </w:pPr>
      <w:r>
        <w:rPr>
          <w:rFonts w:ascii="Times New Roman" w:cs="Times New Roman" w:eastAsia="Times New Roman" w:hAnsi="Times New Roman"/>
          <w:sz w:val="14"/>
          <w:szCs w:val="14"/>
          <w:color w:val="auto"/>
        </w:rPr>
        <w:t>A. The Borrower, the Guarantors, the Lenders, and Bank of America as Administrative Agent, Swingline Lender and L/C Issuer are parties to a Second Amended and Restated Credit Agreement, dated as of March 6, 2020, as amended by a Waiver and First Amendment to Second Amended and Restated Credit Agreement dated as of May 15, 2020 (the “</w:t>
      </w:r>
      <w:r>
        <w:rPr>
          <w:rFonts w:ascii="Times New Roman" w:cs="Times New Roman" w:eastAsia="Times New Roman" w:hAnsi="Times New Roman"/>
          <w:sz w:val="14"/>
          <w:szCs w:val="14"/>
          <w:u w:val="single" w:color="auto"/>
          <w:color w:val="auto"/>
        </w:rPr>
        <w:t>First Amendment</w:t>
      </w:r>
      <w:r>
        <w:rPr>
          <w:rFonts w:ascii="Times New Roman" w:cs="Times New Roman" w:eastAsia="Times New Roman" w:hAnsi="Times New Roman"/>
          <w:sz w:val="14"/>
          <w:szCs w:val="14"/>
          <w:color w:val="auto"/>
        </w:rPr>
        <w:t>”), by a Waiver and Second Amendment to Second Amended and Restated Credit Agreement dated as of August 7, 2020 (the “</w:t>
      </w:r>
      <w:r>
        <w:rPr>
          <w:rFonts w:ascii="Times New Roman" w:cs="Times New Roman" w:eastAsia="Times New Roman" w:hAnsi="Times New Roman"/>
          <w:sz w:val="14"/>
          <w:szCs w:val="14"/>
          <w:u w:val="single" w:color="auto"/>
          <w:color w:val="auto"/>
        </w:rPr>
        <w:t>Second Amendment</w:t>
      </w:r>
      <w:r>
        <w:rPr>
          <w:rFonts w:ascii="Times New Roman" w:cs="Times New Roman" w:eastAsia="Times New Roman" w:hAnsi="Times New Roman"/>
          <w:sz w:val="14"/>
          <w:szCs w:val="14"/>
          <w:color w:val="auto"/>
        </w:rPr>
        <w:t>”), by a Waiver and Third Amendment to Second Amended and Restated Credit Agreement dated as of November 8, 2021 (the “</w:t>
      </w:r>
      <w:r>
        <w:rPr>
          <w:rFonts w:ascii="Times New Roman" w:cs="Times New Roman" w:eastAsia="Times New Roman" w:hAnsi="Times New Roman"/>
          <w:sz w:val="14"/>
          <w:szCs w:val="14"/>
          <w:u w:val="single" w:color="auto"/>
          <w:color w:val="auto"/>
        </w:rPr>
        <w:t>Third Amendment</w:t>
      </w:r>
      <w:r>
        <w:rPr>
          <w:rFonts w:ascii="Times New Roman" w:cs="Times New Roman" w:eastAsia="Times New Roman" w:hAnsi="Times New Roman"/>
          <w:sz w:val="14"/>
          <w:szCs w:val="14"/>
          <w:color w:val="auto"/>
        </w:rPr>
        <w:t>”), by a Fourth Amendment to Second Amended and Restated Credit Agreement dated as of November 29, 2022 (the “</w:t>
      </w:r>
      <w:r>
        <w:rPr>
          <w:rFonts w:ascii="Times New Roman" w:cs="Times New Roman" w:eastAsia="Times New Roman" w:hAnsi="Times New Roman"/>
          <w:sz w:val="14"/>
          <w:szCs w:val="14"/>
          <w:u w:val="single" w:color="auto"/>
          <w:color w:val="auto"/>
        </w:rPr>
        <w:t>Fourth Amendment</w:t>
      </w:r>
      <w:r>
        <w:rPr>
          <w:rFonts w:ascii="Times New Roman" w:cs="Times New Roman" w:eastAsia="Times New Roman" w:hAnsi="Times New Roman"/>
          <w:sz w:val="14"/>
          <w:szCs w:val="14"/>
          <w:color w:val="auto"/>
        </w:rPr>
        <w:t>”), by a Waiver and Fifth Amendment to Second Amended and Restated Credit Agreement dated as of March 30, 2023 (the “</w:t>
      </w:r>
      <w:r>
        <w:rPr>
          <w:rFonts w:ascii="Times New Roman" w:cs="Times New Roman" w:eastAsia="Times New Roman" w:hAnsi="Times New Roman"/>
          <w:sz w:val="14"/>
          <w:szCs w:val="14"/>
          <w:u w:val="single" w:color="auto"/>
          <w:color w:val="auto"/>
        </w:rPr>
        <w:t>Fifth Amendment</w:t>
      </w:r>
      <w:r>
        <w:rPr>
          <w:rFonts w:ascii="Times New Roman" w:cs="Times New Roman" w:eastAsia="Times New Roman" w:hAnsi="Times New Roman"/>
          <w:sz w:val="14"/>
          <w:szCs w:val="14"/>
          <w:color w:val="auto"/>
        </w:rPr>
        <w:t>”), by a Waiver and Sixth Amendment to Second Amended and Restated Credit Agreement dated as of March 27, 2024 (the “</w:t>
      </w:r>
      <w:r>
        <w:rPr>
          <w:rFonts w:ascii="Times New Roman" w:cs="Times New Roman" w:eastAsia="Times New Roman" w:hAnsi="Times New Roman"/>
          <w:sz w:val="14"/>
          <w:szCs w:val="14"/>
          <w:u w:val="single" w:color="auto"/>
          <w:color w:val="auto"/>
        </w:rPr>
        <w:t>Sixth Amendment</w:t>
      </w:r>
      <w:r>
        <w:rPr>
          <w:rFonts w:ascii="Times New Roman" w:cs="Times New Roman" w:eastAsia="Times New Roman" w:hAnsi="Times New Roman"/>
          <w:sz w:val="14"/>
          <w:szCs w:val="14"/>
          <w:color w:val="auto"/>
        </w:rPr>
        <w:t>”), by a Waiver and Seventh Amendment to Second Amended and Restated Credit Agreement dated as of October 3, 2024 (the “</w:t>
      </w:r>
      <w:r>
        <w:rPr>
          <w:rFonts w:ascii="Times New Roman" w:cs="Times New Roman" w:eastAsia="Times New Roman" w:hAnsi="Times New Roman"/>
          <w:sz w:val="14"/>
          <w:szCs w:val="14"/>
          <w:u w:val="single" w:color="auto"/>
          <w:color w:val="auto"/>
        </w:rPr>
        <w:t>Seventh Amendment</w:t>
      </w:r>
      <w:r>
        <w:rPr>
          <w:rFonts w:ascii="Times New Roman" w:cs="Times New Roman" w:eastAsia="Times New Roman" w:hAnsi="Times New Roman"/>
          <w:sz w:val="14"/>
          <w:szCs w:val="14"/>
          <w:color w:val="auto"/>
        </w:rPr>
        <w:t>”), by an Eighth Amendment to Second Amended and Restated Credit Agreement dated as of January 3, 2025 (the “</w:t>
      </w:r>
      <w:r>
        <w:rPr>
          <w:rFonts w:ascii="Times New Roman" w:cs="Times New Roman" w:eastAsia="Times New Roman" w:hAnsi="Times New Roman"/>
          <w:sz w:val="14"/>
          <w:szCs w:val="14"/>
          <w:u w:val="single" w:color="auto"/>
          <w:color w:val="auto"/>
        </w:rPr>
        <w:t>Eighth Amendment</w:t>
      </w:r>
      <w:r>
        <w:rPr>
          <w:rFonts w:ascii="Times New Roman" w:cs="Times New Roman" w:eastAsia="Times New Roman" w:hAnsi="Times New Roman"/>
          <w:sz w:val="14"/>
          <w:szCs w:val="14"/>
          <w:color w:val="auto"/>
        </w:rPr>
        <w:t>”), and by a Ninth Amendment to Second Amended and Restated Credit Agreement dated as of April 3, 2025 (the “</w:t>
      </w:r>
      <w:r>
        <w:rPr>
          <w:rFonts w:ascii="Times New Roman" w:cs="Times New Roman" w:eastAsia="Times New Roman" w:hAnsi="Times New Roman"/>
          <w:sz w:val="14"/>
          <w:szCs w:val="14"/>
          <w:u w:val="single" w:color="auto"/>
          <w:color w:val="auto"/>
        </w:rPr>
        <w:t>Ninth Amendment</w:t>
      </w:r>
      <w:r>
        <w:rPr>
          <w:rFonts w:ascii="Times New Roman" w:cs="Times New Roman" w:eastAsia="Times New Roman" w:hAnsi="Times New Roman"/>
          <w:sz w:val="14"/>
          <w:szCs w:val="14"/>
          <w:color w:val="auto"/>
        </w:rPr>
        <w:t>”) and collectively with the First Amendment, Second Amendment, Third Amendment, Fourth Amendment, Fifth Amendment, Sixth Amendment, Seventh Amendment, Eighth Amendment, and Second Amended and Restated Credit Agreement, the “</w:t>
      </w:r>
      <w:r>
        <w:rPr>
          <w:rFonts w:ascii="Times New Roman" w:cs="Times New Roman" w:eastAsia="Times New Roman" w:hAnsi="Times New Roman"/>
          <w:sz w:val="14"/>
          <w:szCs w:val="14"/>
          <w:u w:val="single" w:color="auto"/>
          <w:color w:val="auto"/>
        </w:rPr>
        <w:t>Credit Agreement</w:t>
      </w:r>
      <w:r>
        <w:rPr>
          <w:rFonts w:ascii="Times New Roman" w:cs="Times New Roman" w:eastAsia="Times New Roman" w:hAnsi="Times New Roman"/>
          <w:sz w:val="14"/>
          <w:szCs w:val="14"/>
          <w:color w:val="auto"/>
        </w:rPr>
        <w:t>”), pursuant to which the Lenders provide a revolving credit facility to the Borrower in an aggregate amount of up to $55,000,000.00.</w:t>
      </w:r>
    </w:p>
    <w:p>
      <w:pPr>
        <w:spacing w:after="0" w:line="134" w:lineRule="exact"/>
        <w:rPr>
          <w:sz w:val="20"/>
          <w:szCs w:val="20"/>
          <w:color w:val="auto"/>
        </w:rPr>
      </w:pPr>
    </w:p>
    <w:p>
      <w:pPr>
        <w:ind w:left="1360" w:hanging="703"/>
        <w:spacing w:after="0"/>
        <w:tabs>
          <w:tab w:leader="none" w:pos="13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are entering into this Tenth Amendment by which the Lenders will amend and supplement the Credit Agreement as set forth below.</w:t>
      </w:r>
    </w:p>
    <w:p>
      <w:pPr>
        <w:spacing w:after="0" w:line="14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NOW, THEREFORE</w:t>
      </w:r>
      <w:r>
        <w:rPr>
          <w:rFonts w:ascii="Times New Roman" w:cs="Times New Roman" w:eastAsia="Times New Roman" w:hAnsi="Times New Roman"/>
          <w:sz w:val="14"/>
          <w:szCs w:val="14"/>
          <w:color w:val="auto"/>
        </w:rPr>
        <w:t>, the parties hereby agree as follows:</w:t>
      </w:r>
    </w:p>
    <w:p>
      <w:pPr>
        <w:spacing w:after="0" w:line="146" w:lineRule="exact"/>
        <w:rPr>
          <w:sz w:val="20"/>
          <w:szCs w:val="20"/>
          <w:color w:val="auto"/>
        </w:rPr>
      </w:pPr>
    </w:p>
    <w:p>
      <w:pPr>
        <w:ind w:left="220" w:right="220" w:firstLine="437"/>
        <w:spacing w:after="0" w:line="263" w:lineRule="auto"/>
        <w:tabs>
          <w:tab w:leader="none" w:pos="1378"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Defined Terms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and all initially capitalized terms used in this Tenth Amendment without definition (including, without limitation, in the recitals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Tenth Amendment) shall have the respective meanings set forth for such terms in the Credit Agreement.</w:t>
      </w:r>
    </w:p>
    <w:p>
      <w:pPr>
        <w:spacing w:after="0" w:line="112" w:lineRule="exact"/>
        <w:rPr>
          <w:rFonts w:ascii="Times New Roman" w:cs="Times New Roman" w:eastAsia="Times New Roman" w:hAnsi="Times New Roman"/>
          <w:sz w:val="14"/>
          <w:szCs w:val="14"/>
          <w:color w:val="auto"/>
        </w:rPr>
      </w:pPr>
    </w:p>
    <w:p>
      <w:pPr>
        <w:ind w:left="1100" w:hanging="424"/>
        <w:spacing w:after="0"/>
        <w:tabs>
          <w:tab w:leader="none" w:pos="110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Amendments to Credit Agreement</w:t>
      </w:r>
      <w:r>
        <w:rPr>
          <w:rFonts w:ascii="Times New Roman" w:cs="Times New Roman" w:eastAsia="Times New Roman" w:hAnsi="Times New Roman"/>
          <w:sz w:val="14"/>
          <w:szCs w:val="14"/>
          <w:color w:val="auto"/>
        </w:rPr>
        <w:t>.</w:t>
      </w:r>
    </w:p>
    <w:p>
      <w:pPr>
        <w:spacing w:after="0" w:line="150" w:lineRule="exact"/>
        <w:rPr>
          <w:sz w:val="20"/>
          <w:szCs w:val="20"/>
          <w:color w:val="auto"/>
        </w:rPr>
      </w:pPr>
    </w:p>
    <w:p>
      <w:pPr>
        <w:ind w:left="1120"/>
        <w:spacing w:after="0"/>
        <w:tabs>
          <w:tab w:leader="none" w:pos="154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3"/>
          <w:szCs w:val="13"/>
          <w:u w:val="single" w:color="auto"/>
          <w:color w:val="auto"/>
        </w:rPr>
        <w:t>Extension of Maturity Date</w:t>
      </w:r>
      <w:r>
        <w:rPr>
          <w:rFonts w:ascii="Times New Roman" w:cs="Times New Roman" w:eastAsia="Times New Roman" w:hAnsi="Times New Roman"/>
          <w:sz w:val="13"/>
          <w:szCs w:val="13"/>
          <w:color w:val="auto"/>
        </w:rPr>
        <w:t>. The definition of “Maturity Date” set forth in Section</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1.01 of the Credit Agreement is amended and restated to read as follows:</w:t>
      </w: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Maturity Date</w:t>
      </w:r>
      <w:r>
        <w:rPr>
          <w:rFonts w:ascii="Times New Roman" w:cs="Times New Roman" w:eastAsia="Times New Roman" w:hAnsi="Times New Roman"/>
          <w:sz w:val="14"/>
          <w:szCs w:val="14"/>
          <w:color w:val="auto"/>
        </w:rPr>
        <w:t xml:space="preserve">” means the date that is May 18, 2026;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 such date is not a Business Day, the Maturity Date shall be the next preceding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80645</wp:posOffset>
            </wp:positionV>
            <wp:extent cx="636016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60160" cy="43180"/>
                    </a:xfrm>
                    <a:prstGeom prst="rect">
                      <a:avLst/>
                    </a:prstGeom>
                    <a:noFill/>
                  </pic:spPr>
                </pic:pic>
              </a:graphicData>
            </a:graphic>
          </wp:anchor>
        </w:drawing>
      </w:r>
    </w:p>
    <w:p>
      <w:pPr>
        <w:sectPr>
          <w:pgSz w:w="11900" w:h="16838" w:orient="portrait"/>
          <w:cols w:equalWidth="0" w:num="1">
            <w:col w:w="9960"/>
          </w:cols>
          <w:pgMar w:left="960" w:top="118" w:right="979" w:bottom="1440" w:gutter="0" w:footer="0" w:header="0"/>
        </w:sectPr>
      </w:pPr>
    </w:p>
    <w:bookmarkStart w:id="55" w:name="page56"/>
    <w:bookmarkEnd w:id="55"/>
    <w:p>
      <w:pPr>
        <w:ind w:left="640"/>
        <w:spacing w:after="0"/>
        <w:tabs>
          <w:tab w:leader="none" w:pos="134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3"/>
          <w:szCs w:val="13"/>
          <w:u w:val="single" w:color="auto"/>
          <w:color w:val="auto"/>
        </w:rPr>
        <w:t>Dispositions of Real Property</w:t>
      </w:r>
      <w:r>
        <w:rPr>
          <w:rFonts w:ascii="Times New Roman" w:cs="Times New Roman" w:eastAsia="Times New Roman" w:hAnsi="Times New Roman"/>
          <w:sz w:val="13"/>
          <w:szCs w:val="13"/>
          <w:color w:val="auto"/>
        </w:rPr>
        <w:t>. Sections 2.05(b)A.-C. of the Credit Agreement are amended and restated to read as follows:</w:t>
      </w:r>
    </w:p>
    <w:p>
      <w:pPr>
        <w:spacing w:after="0" w:line="145"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w:t>
            </w:r>
          </w:p>
        </w:tc>
        <w:tc>
          <w:tcPr>
            <w:tcW w:w="22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Notwithstanding</w:t>
            </w: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anything</w:t>
            </w:r>
          </w:p>
        </w:tc>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w:t>
            </w: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contrary</w:t>
            </w:r>
          </w:p>
        </w:tc>
        <w:tc>
          <w:tcPr>
            <w:tcW w:w="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this</w:t>
            </w: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Section</w:t>
            </w: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2.05</w:t>
            </w:r>
          </w:p>
        </w:tc>
        <w:tc>
          <w:tcPr>
            <w:tcW w:w="220" w:type="dxa"/>
            <w:vAlign w:val="bottom"/>
          </w:tcPr>
          <w:p>
            <w:pPr>
              <w:spacing w:after="0"/>
              <w:rPr>
                <w:sz w:val="13"/>
                <w:szCs w:val="1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or</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w w:val="96"/>
              </w:rPr>
              <w:t>elsewhere</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w:t>
            </w:r>
          </w:p>
        </w:tc>
      </w:tr>
      <w:tr>
        <w:trPr>
          <w:trHeight w:val="158"/>
        </w:trPr>
        <w:tc>
          <w:tcPr>
            <w:tcW w:w="3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the</w:t>
            </w:r>
          </w:p>
        </w:tc>
        <w:tc>
          <w:tcPr>
            <w:tcW w:w="70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4"/>
                <w:szCs w:val="14"/>
                <w:color w:val="auto"/>
              </w:rPr>
              <w:t>Credit</w:t>
            </w:r>
          </w:p>
        </w:tc>
        <w:tc>
          <w:tcPr>
            <w:tcW w:w="760" w:type="dxa"/>
            <w:vAlign w:val="bottom"/>
          </w:tcPr>
          <w:p>
            <w:pPr>
              <w:ind w:left="60"/>
              <w:spacing w:after="0" w:line="159" w:lineRule="exact"/>
              <w:rPr>
                <w:sz w:val="20"/>
                <w:szCs w:val="20"/>
                <w:color w:val="auto"/>
              </w:rPr>
            </w:pPr>
            <w:r>
              <w:rPr>
                <w:rFonts w:ascii="Times New Roman" w:cs="Times New Roman" w:eastAsia="Times New Roman" w:hAnsi="Times New Roman"/>
                <w:sz w:val="14"/>
                <w:szCs w:val="14"/>
                <w:color w:val="auto"/>
              </w:rPr>
              <w:t>Agreement,</w:t>
            </w:r>
          </w:p>
        </w:tc>
        <w:tc>
          <w:tcPr>
            <w:tcW w:w="56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if</w:t>
            </w:r>
          </w:p>
        </w:tc>
        <w:tc>
          <w:tcPr>
            <w:tcW w:w="620" w:type="dxa"/>
            <w:vAlign w:val="bottom"/>
          </w:tcPr>
          <w:p>
            <w:pPr>
              <w:ind w:left="80"/>
              <w:spacing w:after="0" w:line="159" w:lineRule="exact"/>
              <w:rPr>
                <w:sz w:val="20"/>
                <w:szCs w:val="20"/>
                <w:color w:val="auto"/>
              </w:rPr>
            </w:pPr>
            <w:r>
              <w:rPr>
                <w:rFonts w:ascii="Times New Roman" w:cs="Times New Roman" w:eastAsia="Times New Roman" w:hAnsi="Times New Roman"/>
                <w:sz w:val="14"/>
                <w:szCs w:val="14"/>
                <w:color w:val="auto"/>
              </w:rPr>
              <w:t>Reading</w:t>
            </w:r>
          </w:p>
        </w:tc>
        <w:tc>
          <w:tcPr>
            <w:tcW w:w="48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or</w:t>
            </w:r>
          </w:p>
        </w:tc>
        <w:tc>
          <w:tcPr>
            <w:tcW w:w="640" w:type="dxa"/>
            <w:vAlign w:val="bottom"/>
            <w:gridSpan w:val="2"/>
          </w:tcPr>
          <w:p>
            <w:pPr>
              <w:ind w:left="180"/>
              <w:spacing w:after="0" w:line="159" w:lineRule="exact"/>
              <w:rPr>
                <w:sz w:val="20"/>
                <w:szCs w:val="20"/>
                <w:color w:val="auto"/>
              </w:rPr>
            </w:pPr>
            <w:r>
              <w:rPr>
                <w:rFonts w:ascii="Times New Roman" w:cs="Times New Roman" w:eastAsia="Times New Roman" w:hAnsi="Times New Roman"/>
                <w:sz w:val="14"/>
                <w:szCs w:val="14"/>
                <w:color w:val="auto"/>
              </w:rPr>
              <w:t>any</w:t>
            </w:r>
          </w:p>
        </w:tc>
        <w:tc>
          <w:tcPr>
            <w:tcW w:w="440" w:type="dxa"/>
            <w:vAlign w:val="bottom"/>
          </w:tcPr>
          <w:p>
            <w:pPr>
              <w:ind w:left="40"/>
              <w:spacing w:after="0" w:line="159" w:lineRule="exact"/>
              <w:rPr>
                <w:sz w:val="20"/>
                <w:szCs w:val="20"/>
                <w:color w:val="auto"/>
              </w:rPr>
            </w:pPr>
            <w:r>
              <w:rPr>
                <w:rFonts w:ascii="Times New Roman" w:cs="Times New Roman" w:eastAsia="Times New Roman" w:hAnsi="Times New Roman"/>
                <w:sz w:val="14"/>
                <w:szCs w:val="14"/>
                <w:color w:val="auto"/>
              </w:rPr>
              <w:t>Loan</w:t>
            </w:r>
          </w:p>
        </w:tc>
        <w:tc>
          <w:tcPr>
            <w:tcW w:w="660" w:type="dxa"/>
            <w:vAlign w:val="bottom"/>
            <w:gridSpan w:val="2"/>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Party</w:t>
            </w:r>
          </w:p>
        </w:tc>
        <w:tc>
          <w:tcPr>
            <w:tcW w:w="740" w:type="dxa"/>
            <w:vAlign w:val="bottom"/>
          </w:tcPr>
          <w:p>
            <w:pPr>
              <w:ind w:left="140"/>
              <w:spacing w:after="0" w:line="159" w:lineRule="exact"/>
              <w:rPr>
                <w:sz w:val="20"/>
                <w:szCs w:val="20"/>
                <w:color w:val="auto"/>
              </w:rPr>
            </w:pPr>
            <w:r>
              <w:rPr>
                <w:rFonts w:ascii="Times New Roman" w:cs="Times New Roman" w:eastAsia="Times New Roman" w:hAnsi="Times New Roman"/>
                <w:sz w:val="14"/>
                <w:szCs w:val="14"/>
                <w:color w:val="auto"/>
              </w:rPr>
              <w:t>(including</w:t>
            </w:r>
          </w:p>
        </w:tc>
        <w:tc>
          <w:tcPr>
            <w:tcW w:w="5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any</w:t>
            </w:r>
          </w:p>
        </w:tc>
        <w:tc>
          <w:tcPr>
            <w:tcW w:w="220" w:type="dxa"/>
            <w:vAlign w:val="bottom"/>
          </w:tcPr>
          <w:p>
            <w:pPr>
              <w:spacing w:after="0"/>
              <w:rPr>
                <w:sz w:val="13"/>
                <w:szCs w:val="13"/>
                <w:color w:val="auto"/>
              </w:rPr>
            </w:pPr>
          </w:p>
        </w:tc>
        <w:tc>
          <w:tcPr>
            <w:tcW w:w="620" w:type="dxa"/>
            <w:vAlign w:val="bottom"/>
            <w:gridSpan w:val="2"/>
          </w:tcPr>
          <w:p>
            <w:pPr>
              <w:ind w:left="40"/>
              <w:spacing w:after="0" w:line="159" w:lineRule="exact"/>
              <w:rPr>
                <w:sz w:val="20"/>
                <w:szCs w:val="20"/>
                <w:color w:val="auto"/>
              </w:rPr>
            </w:pPr>
            <w:r>
              <w:rPr>
                <w:rFonts w:ascii="Times New Roman" w:cs="Times New Roman" w:eastAsia="Times New Roman" w:hAnsi="Times New Roman"/>
                <w:sz w:val="14"/>
                <w:szCs w:val="14"/>
                <w:color w:val="auto"/>
              </w:rPr>
              <w:t>direct</w:t>
            </w:r>
          </w:p>
        </w:tc>
        <w:tc>
          <w:tcPr>
            <w:tcW w:w="460" w:type="dxa"/>
            <w:vAlign w:val="bottom"/>
          </w:tcPr>
          <w:p>
            <w:pPr>
              <w:ind w:left="60"/>
              <w:spacing w:after="0" w:line="159" w:lineRule="exact"/>
              <w:rPr>
                <w:sz w:val="20"/>
                <w:szCs w:val="20"/>
                <w:color w:val="auto"/>
              </w:rPr>
            </w:pPr>
            <w:r>
              <w:rPr>
                <w:rFonts w:ascii="Times New Roman" w:cs="Times New Roman" w:eastAsia="Times New Roman" w:hAnsi="Times New Roman"/>
                <w:sz w:val="14"/>
                <w:szCs w:val="14"/>
                <w:color w:val="auto"/>
              </w:rPr>
              <w:t>or</w:t>
            </w:r>
          </w:p>
        </w:tc>
        <w:tc>
          <w:tcPr>
            <w:tcW w:w="4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indirect</w:t>
            </w:r>
          </w:p>
        </w:tc>
      </w:tr>
      <w:tr>
        <w:trPr>
          <w:trHeight w:val="145"/>
        </w:trPr>
        <w:tc>
          <w:tcPr>
            <w:tcW w:w="5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w w:val="97"/>
              </w:rPr>
              <w:t>subsidiary</w:t>
            </w:r>
          </w:p>
        </w:tc>
        <w:tc>
          <w:tcPr>
            <w:tcW w:w="48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76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w w:val="98"/>
              </w:rPr>
              <w:t>Reading</w:t>
            </w:r>
          </w:p>
        </w:tc>
        <w:tc>
          <w:tcPr>
            <w:tcW w:w="118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4"/>
                <w:szCs w:val="14"/>
                <w:color w:val="auto"/>
              </w:rPr>
              <w:t>(collectively,</w:t>
            </w:r>
          </w:p>
        </w:tc>
        <w:tc>
          <w:tcPr>
            <w:tcW w:w="4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the</w:t>
            </w:r>
          </w:p>
        </w:tc>
        <w:tc>
          <w:tcPr>
            <w:tcW w:w="1080" w:type="dxa"/>
            <w:vAlign w:val="bottom"/>
            <w:gridSpan w:val="3"/>
          </w:tcPr>
          <w:p>
            <w:pPr>
              <w:ind w:left="200"/>
              <w:spacing w:after="0" w:line="145" w:lineRule="exact"/>
              <w:rPr>
                <w:sz w:val="20"/>
                <w:szCs w:val="20"/>
                <w:color w:val="auto"/>
              </w:rPr>
            </w:pPr>
            <w:r>
              <w:rPr>
                <w:rFonts w:ascii="Times New Roman" w:cs="Times New Roman" w:eastAsia="Times New Roman" w:hAnsi="Times New Roman"/>
                <w:sz w:val="14"/>
                <w:szCs w:val="14"/>
                <w:color w:val="auto"/>
              </w:rPr>
              <w:t>“Borrower</w:t>
            </w:r>
          </w:p>
        </w:tc>
        <w:tc>
          <w:tcPr>
            <w:tcW w:w="6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Group”)</w:t>
            </w:r>
          </w:p>
        </w:tc>
        <w:tc>
          <w:tcPr>
            <w:tcW w:w="74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sells</w:t>
            </w:r>
          </w:p>
        </w:tc>
        <w:tc>
          <w:tcPr>
            <w:tcW w:w="520" w:type="dxa"/>
            <w:vAlign w:val="bottom"/>
          </w:tcPr>
          <w:p>
            <w:pPr>
              <w:jc w:val="right"/>
              <w:ind w:right="232"/>
              <w:spacing w:after="0" w:line="145" w:lineRule="exact"/>
              <w:rPr>
                <w:sz w:val="20"/>
                <w:szCs w:val="20"/>
                <w:color w:val="auto"/>
              </w:rPr>
            </w:pPr>
            <w:r>
              <w:rPr>
                <w:rFonts w:ascii="Times New Roman" w:cs="Times New Roman" w:eastAsia="Times New Roman" w:hAnsi="Times New Roman"/>
                <w:sz w:val="14"/>
                <w:szCs w:val="14"/>
                <w:color w:val="auto"/>
                <w:w w:val="98"/>
              </w:rPr>
              <w:t>one</w:t>
            </w:r>
          </w:p>
        </w:tc>
        <w:tc>
          <w:tcPr>
            <w:tcW w:w="220" w:type="dxa"/>
            <w:vAlign w:val="bottom"/>
          </w:tcPr>
          <w:p>
            <w:pPr>
              <w:ind w:left="40"/>
              <w:spacing w:after="0" w:line="145" w:lineRule="exact"/>
              <w:rPr>
                <w:sz w:val="20"/>
                <w:szCs w:val="20"/>
                <w:color w:val="auto"/>
              </w:rPr>
            </w:pPr>
            <w:r>
              <w:rPr>
                <w:rFonts w:ascii="Times New Roman" w:cs="Times New Roman" w:eastAsia="Times New Roman" w:hAnsi="Times New Roman"/>
                <w:sz w:val="14"/>
                <w:szCs w:val="14"/>
                <w:color w:val="auto"/>
              </w:rPr>
              <w:t>or</w:t>
            </w:r>
          </w:p>
        </w:tc>
        <w:tc>
          <w:tcPr>
            <w:tcW w:w="220" w:type="dxa"/>
            <w:vAlign w:val="bottom"/>
          </w:tcPr>
          <w:p>
            <w:pPr>
              <w:spacing w:after="0"/>
              <w:rPr>
                <w:sz w:val="12"/>
                <w:szCs w:val="12"/>
                <w:color w:val="auto"/>
              </w:rPr>
            </w:pPr>
          </w:p>
        </w:tc>
        <w:tc>
          <w:tcPr>
            <w:tcW w:w="40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more</w:t>
            </w:r>
          </w:p>
        </w:tc>
        <w:tc>
          <w:tcPr>
            <w:tcW w:w="46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the</w:t>
            </w: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4" w:lineRule="exact"/>
        <w:rPr>
          <w:sz w:val="20"/>
          <w:szCs w:val="20"/>
          <w:color w:val="auto"/>
        </w:rPr>
      </w:pPr>
    </w:p>
    <w:p>
      <w:pPr>
        <w:ind w:left="1040"/>
        <w:spacing w:after="0" w:line="246" w:lineRule="auto"/>
        <w:rPr>
          <w:sz w:val="20"/>
          <w:szCs w:val="20"/>
          <w:color w:val="auto"/>
        </w:rPr>
      </w:pPr>
      <w:r>
        <w:rPr>
          <w:rFonts w:ascii="Times New Roman" w:cs="Times New Roman" w:eastAsia="Times New Roman" w:hAnsi="Times New Roman"/>
          <w:sz w:val="14"/>
          <w:szCs w:val="14"/>
          <w:color w:val="auto"/>
        </w:rPr>
        <w:t>following properties (each a “</w:t>
      </w:r>
      <w:r>
        <w:rPr>
          <w:rFonts w:ascii="Times New Roman" w:cs="Times New Roman" w:eastAsia="Times New Roman" w:hAnsi="Times New Roman"/>
          <w:sz w:val="14"/>
          <w:szCs w:val="14"/>
          <w:u w:val="single" w:color="auto"/>
          <w:color w:val="auto"/>
        </w:rPr>
        <w:t>Reading Sale Property</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u w:val="single" w:color="auto"/>
          <w:color w:val="auto"/>
        </w:rPr>
        <w:t>Reading Sale Properties</w:t>
      </w:r>
      <w:r>
        <w:rPr>
          <w:rFonts w:ascii="Times New Roman" w:cs="Times New Roman" w:eastAsia="Times New Roman" w:hAnsi="Times New Roman"/>
          <w:sz w:val="14"/>
          <w:szCs w:val="14"/>
          <w:color w:val="auto"/>
        </w:rPr>
        <w:t>”) prior to the Maturity Date, then Borrower covenants and agrees to cause to be paid to Lenders as a mandatory pre-payment of principal an amount equal to: (i) with respect to the [***] Property (as defined below),</w:t>
      </w:r>
    </w:p>
    <w:p>
      <w:pPr>
        <w:spacing w:after="0" w:line="1" w:lineRule="exact"/>
        <w:rPr>
          <w:sz w:val="20"/>
          <w:szCs w:val="20"/>
          <w:color w:val="auto"/>
        </w:rPr>
      </w:pPr>
    </w:p>
    <w:p>
      <w:pPr>
        <w:jc w:val="both"/>
        <w:ind w:left="1040" w:right="960"/>
        <w:spacing w:after="0" w:line="237" w:lineRule="auto"/>
        <w:rPr>
          <w:sz w:val="20"/>
          <w:szCs w:val="20"/>
          <w:color w:val="auto"/>
        </w:rPr>
      </w:pPr>
      <w:r>
        <w:rPr>
          <w:rFonts w:ascii="Times New Roman" w:cs="Times New Roman" w:eastAsia="Times New Roman" w:hAnsi="Times New Roman"/>
          <w:sz w:val="14"/>
          <w:szCs w:val="14"/>
          <w:color w:val="auto"/>
        </w:rPr>
        <w:t>[***] of the Net Property Sale Proceeds (as defined below); and (ii) with respect to all other Reading Sale Properties, [***] of the Net Property Sale Proceeds, with such amounts to be applied to the Loan’s principal balance, in inverse order of maturity, within ten (10) Business Days of receipt of such Net Property Sale Proceeds by any member of the Borrower Group.</w:t>
      </w:r>
    </w:p>
    <w:p>
      <w:pPr>
        <w:spacing w:after="0" w:line="1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For purposes of this paragraph,</w:t>
      </w:r>
    </w:p>
    <w:p>
      <w:pPr>
        <w:spacing w:after="0" w:line="14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(A)the term “</w:t>
      </w:r>
      <w:r>
        <w:rPr>
          <w:rFonts w:ascii="Times New Roman" w:cs="Times New Roman" w:eastAsia="Times New Roman" w:hAnsi="Times New Roman"/>
          <w:sz w:val="14"/>
          <w:szCs w:val="14"/>
          <w:u w:val="single" w:color="auto"/>
          <w:color w:val="auto"/>
        </w:rPr>
        <w:t>Reading Sale Properties</w:t>
      </w:r>
      <w:r>
        <w:rPr>
          <w:rFonts w:ascii="Times New Roman" w:cs="Times New Roman" w:eastAsia="Times New Roman" w:hAnsi="Times New Roman"/>
          <w:sz w:val="14"/>
          <w:szCs w:val="14"/>
          <w:color w:val="auto"/>
        </w:rPr>
        <w:t>” shall mean the following real properties:</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1240" w:right="960" w:hanging="215"/>
        <w:spacing w:after="0" w:line="257" w:lineRule="auto"/>
        <w:tabs>
          <w:tab w:leader="none" w:pos="1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“sell” shall mean any sale by the owner of its fee interest in such property in a transaction that is treated as a sale under GAAP, and shall not include any financing, lease, license, sale and leaseback, or other transaction not treated as a sale under GAAP.</w:t>
      </w:r>
    </w:p>
    <w:p>
      <w:pPr>
        <w:spacing w:after="0" w:line="120" w:lineRule="exact"/>
        <w:rPr>
          <w:rFonts w:ascii="Times New Roman" w:cs="Times New Roman" w:eastAsia="Times New Roman" w:hAnsi="Times New Roman"/>
          <w:sz w:val="14"/>
          <w:szCs w:val="14"/>
          <w:color w:val="auto"/>
        </w:rPr>
      </w:pPr>
    </w:p>
    <w:p>
      <w:pPr>
        <w:ind w:left="1240" w:right="960" w:hanging="215"/>
        <w:spacing w:after="0" w:line="257" w:lineRule="auto"/>
        <w:tabs>
          <w:tab w:leader="none" w:pos="1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u w:val="single" w:color="auto"/>
          <w:color w:val="auto"/>
        </w:rPr>
        <w:t>Net Property Sale Proceeds</w:t>
      </w:r>
      <w:r>
        <w:rPr>
          <w:rFonts w:ascii="Times New Roman" w:cs="Times New Roman" w:eastAsia="Times New Roman" w:hAnsi="Times New Roman"/>
          <w:sz w:val="14"/>
          <w:szCs w:val="14"/>
          <w:color w:val="auto"/>
        </w:rPr>
        <w:t>” shall mean the net proceeds remaining from the sale of any Reading Sale Property, after taking into account:</w:t>
      </w:r>
    </w:p>
    <w:p>
      <w:pPr>
        <w:spacing w:after="0" w:line="120" w:lineRule="exact"/>
        <w:rPr>
          <w:rFonts w:ascii="Times New Roman" w:cs="Times New Roman" w:eastAsia="Times New Roman" w:hAnsi="Times New Roman"/>
          <w:sz w:val="14"/>
          <w:szCs w:val="14"/>
          <w:color w:val="auto"/>
        </w:rPr>
      </w:pPr>
    </w:p>
    <w:p>
      <w:pPr>
        <w:ind w:left="1860" w:right="960" w:hanging="677"/>
        <w:spacing w:after="0" w:line="257" w:lineRule="auto"/>
        <w:tabs>
          <w:tab w:leader="none" w:pos="186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payoff of any amounts owed to any lender for which such Reading Sale Property serves as collateral, including, without limitation any pre-payment fee or penalty;</w:t>
      </w:r>
    </w:p>
    <w:p>
      <w:pPr>
        <w:spacing w:after="0" w:line="120" w:lineRule="exact"/>
        <w:rPr>
          <w:rFonts w:ascii="Times New Roman" w:cs="Times New Roman" w:eastAsia="Times New Roman" w:hAnsi="Times New Roman"/>
          <w:sz w:val="14"/>
          <w:szCs w:val="14"/>
          <w:color w:val="auto"/>
        </w:rPr>
      </w:pPr>
    </w:p>
    <w:p>
      <w:pPr>
        <w:ind w:left="1880" w:right="960" w:hanging="678"/>
        <w:spacing w:after="0" w:line="257" w:lineRule="auto"/>
        <w:tabs>
          <w:tab w:leader="none" w:pos="1880" w:val="left"/>
        </w:tabs>
        <w:numPr>
          <w:ilvl w:val="2"/>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cash amounts necessary for the applicable member of the Borrower Group to maintain in order to ensure continuous compliance with lender covenants;</w:t>
      </w:r>
    </w:p>
    <w:p>
      <w:pPr>
        <w:spacing w:after="0" w:line="38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193675</wp:posOffset>
            </wp:positionV>
            <wp:extent cx="636016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60160" cy="43180"/>
                    </a:xfrm>
                    <a:prstGeom prst="rect">
                      <a:avLst/>
                    </a:prstGeom>
                    <a:noFill/>
                  </pic:spPr>
                </pic:pic>
              </a:graphicData>
            </a:graphic>
          </wp:anchor>
        </w:drawing>
      </w:r>
    </w:p>
    <w:p>
      <w:pPr>
        <w:sectPr>
          <w:pgSz w:w="11900" w:h="16838" w:orient="portrait"/>
          <w:cols w:equalWidth="0" w:num="1">
            <w:col w:w="10220"/>
          </w:cols>
          <w:pgMar w:left="1440" w:top="124" w:right="239" w:bottom="1440" w:gutter="0" w:footer="0" w:header="0"/>
        </w:sectPr>
      </w:pPr>
    </w:p>
    <w:bookmarkStart w:id="56" w:name="page57"/>
    <w:bookmarkEnd w:id="56"/>
    <w:p>
      <w:pPr>
        <w:ind w:left="1860" w:hanging="658"/>
        <w:spacing w:after="0"/>
        <w:tabs>
          <w:tab w:leader="none" w:pos="186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any broker commissions;</w:t>
      </w:r>
    </w:p>
    <w:p>
      <w:pPr>
        <w:spacing w:after="0" w:line="147" w:lineRule="exact"/>
        <w:rPr>
          <w:rFonts w:ascii="Times New Roman" w:cs="Times New Roman" w:eastAsia="Times New Roman" w:hAnsi="Times New Roman"/>
          <w:sz w:val="14"/>
          <w:szCs w:val="14"/>
          <w:color w:val="auto"/>
        </w:rPr>
      </w:pPr>
    </w:p>
    <w:p>
      <w:pPr>
        <w:ind w:left="1860" w:hanging="677"/>
        <w:spacing w:after="0" w:line="257" w:lineRule="auto"/>
        <w:tabs>
          <w:tab w:leader="none" w:pos="18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any taxes applicable to the sale of such Reading Sale Property, including, without limitation, any transfer, stamp, documentary, recording, withholding or capital gains tax;</w:t>
      </w:r>
    </w:p>
    <w:p>
      <w:pPr>
        <w:spacing w:after="0" w:line="120" w:lineRule="exact"/>
        <w:rPr>
          <w:rFonts w:ascii="Times New Roman" w:cs="Times New Roman" w:eastAsia="Times New Roman" w:hAnsi="Times New Roman"/>
          <w:sz w:val="14"/>
          <w:szCs w:val="14"/>
          <w:color w:val="auto"/>
        </w:rPr>
      </w:pPr>
    </w:p>
    <w:p>
      <w:pPr>
        <w:jc w:val="both"/>
        <w:ind w:left="1880" w:hanging="678"/>
        <w:spacing w:after="0" w:line="247" w:lineRule="auto"/>
        <w:tabs>
          <w:tab w:leader="none" w:pos="188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out-of-pocket transaction costs related to the sale of such Reading Sale Property, including, without limitation, reasonable attorneys and consultants fees and expenses, marketing expenses, title insurance, and costs to be paid to any title company and/or escrow agent;</w:t>
      </w:r>
    </w:p>
    <w:p>
      <w:pPr>
        <w:spacing w:after="0" w:line="127" w:lineRule="exact"/>
        <w:rPr>
          <w:sz w:val="20"/>
          <w:szCs w:val="20"/>
          <w:color w:val="auto"/>
        </w:rPr>
      </w:pPr>
    </w:p>
    <w:p>
      <w:pPr>
        <w:ind w:left="1860" w:hanging="677"/>
        <w:spacing w:after="0"/>
        <w:tabs>
          <w:tab w:leader="none" w:pos="186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Until released, any amounts in the nature of a hold back or earn out, whether or not held in escrow; and</w:t>
      </w:r>
    </w:p>
    <w:p>
      <w:pPr>
        <w:spacing w:after="0" w:line="146" w:lineRule="exact"/>
        <w:rPr>
          <w:rFonts w:ascii="Times New Roman" w:cs="Times New Roman" w:eastAsia="Times New Roman" w:hAnsi="Times New Roman"/>
          <w:sz w:val="14"/>
          <w:szCs w:val="14"/>
          <w:color w:val="auto"/>
        </w:rPr>
      </w:pPr>
    </w:p>
    <w:p>
      <w:pPr>
        <w:ind w:left="1880" w:hanging="678"/>
        <w:spacing w:after="0"/>
        <w:tabs>
          <w:tab w:leader="none" w:pos="1880" w:val="left"/>
        </w:tabs>
        <w:numPr>
          <w:ilvl w:val="2"/>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 any cash distributions to the minority member of Sutton Hill Properties, LLC.</w:t>
      </w:r>
    </w:p>
    <w:p>
      <w:pPr>
        <w:spacing w:after="0" w:line="146" w:lineRule="exact"/>
        <w:rPr>
          <w:rFonts w:ascii="Times New Roman" w:cs="Times New Roman" w:eastAsia="Times New Roman" w:hAnsi="Times New Roman"/>
          <w:sz w:val="14"/>
          <w:szCs w:val="14"/>
          <w:color w:val="auto"/>
        </w:rPr>
      </w:pPr>
    </w:p>
    <w:p>
      <w:pPr>
        <w:jc w:val="both"/>
        <w:ind w:left="1300" w:hanging="229"/>
        <w:spacing w:after="0"/>
        <w:tabs>
          <w:tab w:leader="none" w:pos="13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Borrower Group sells [***] and pays Lender the Net Property Sale Proceeds from such sale (the “</w:t>
      </w:r>
      <w:r>
        <w:rPr>
          <w:rFonts w:ascii="Times New Roman" w:cs="Times New Roman" w:eastAsia="Times New Roman" w:hAnsi="Times New Roman"/>
          <w:sz w:val="14"/>
          <w:szCs w:val="14"/>
          <w:u w:val="single" w:color="auto"/>
          <w:color w:val="auto"/>
        </w:rPr>
        <w:t>[***] Property Sale Proceeds</w:t>
      </w:r>
      <w:r>
        <w:rPr>
          <w:rFonts w:ascii="Times New Roman" w:cs="Times New Roman" w:eastAsia="Times New Roman" w:hAnsi="Times New Roman"/>
          <w:sz w:val="14"/>
          <w:szCs w:val="14"/>
          <w:color w:val="auto"/>
        </w:rPr>
        <w:t>”) by no later than December 30, 2025, the Borrower Group shall receive a dollar-for-dollar credit from such payment toward the Tenth Amendment Additional Payment up to the amount of $1,000,000. If the Borrower Group does not pay the [***] Property Sale Proceeds to the Lenders by December 30, 2025, the Borrower Group shall not be entitled to any such credit, the Tenth Amendment Additional Payment shall remain due and payable as of December 30, 2025, and the Borrower Group’s obligation to pay the [***] Property Sale Proceeds in the event of a sale of</w:t>
      </w:r>
    </w:p>
    <w:p>
      <w:pPr>
        <w:ind w:left="1660" w:hanging="365"/>
        <w:spacing w:after="0"/>
        <w:tabs>
          <w:tab w:leader="none" w:pos="1660" w:val="left"/>
        </w:tabs>
        <w:numPr>
          <w:ilvl w:val="3"/>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remain in full force and effect.</w:t>
      </w:r>
    </w:p>
    <w:p>
      <w:pPr>
        <w:spacing w:after="0" w:line="132" w:lineRule="exact"/>
        <w:rPr>
          <w:rFonts w:ascii="Times New Roman" w:cs="Times New Roman" w:eastAsia="Times New Roman" w:hAnsi="Times New Roman"/>
          <w:sz w:val="14"/>
          <w:szCs w:val="14"/>
          <w:color w:val="auto"/>
        </w:rPr>
      </w:pPr>
    </w:p>
    <w:p>
      <w:pPr>
        <w:ind w:left="1300" w:hanging="229"/>
        <w:spacing w:after="0"/>
        <w:tabs>
          <w:tab w:leader="none" w:pos="13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in this mandatory prepayment covenant shall require that any member of the Borrower Group sell any Reading Sale Property.”</w:t>
      </w:r>
    </w:p>
    <w:p>
      <w:pPr>
        <w:spacing w:after="0" w:line="146" w:lineRule="exact"/>
        <w:rPr>
          <w:sz w:val="20"/>
          <w:szCs w:val="20"/>
          <w:color w:val="auto"/>
        </w:rPr>
      </w:pPr>
    </w:p>
    <w:p>
      <w:pPr>
        <w:ind w:left="640"/>
        <w:spacing w:after="0"/>
        <w:tabs>
          <w:tab w:leader="none" w:pos="134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3"/>
          <w:szCs w:val="13"/>
          <w:u w:val="single" w:color="auto"/>
          <w:color w:val="auto"/>
        </w:rPr>
        <w:t>Interest Rate</w:t>
      </w:r>
      <w:r>
        <w:rPr>
          <w:rFonts w:ascii="Times New Roman" w:cs="Times New Roman" w:eastAsia="Times New Roman" w:hAnsi="Times New Roman"/>
          <w:sz w:val="13"/>
          <w:szCs w:val="13"/>
          <w:color w:val="auto"/>
        </w:rPr>
        <w:t>. Section 2.08 of the Credit Agreement is amended and restated to read as follows:</w:t>
      </w:r>
    </w:p>
    <w:p>
      <w:pPr>
        <w:spacing w:after="0" w:line="146" w:lineRule="exact"/>
        <w:rPr>
          <w:sz w:val="20"/>
          <w:szCs w:val="20"/>
          <w:color w:val="auto"/>
        </w:rPr>
      </w:pPr>
    </w:p>
    <w:p>
      <w:pPr>
        <w:jc w:val="both"/>
        <w:ind w:left="560" w:right="420"/>
        <w:spacing w:after="0" w:line="243" w:lineRule="auto"/>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Interest</w:t>
      </w:r>
      <w:r>
        <w:rPr>
          <w:rFonts w:ascii="Times New Roman" w:cs="Times New Roman" w:eastAsia="Times New Roman" w:hAnsi="Times New Roman"/>
          <w:sz w:val="14"/>
          <w:szCs w:val="14"/>
          <w:color w:val="auto"/>
        </w:rPr>
        <w:t>. All Borrowings shall bear interest at the Base Rate. Subject to the provisions of Section 2.08(b), through and including December 31, 2025, each Loan shall bear interest on the outstanding principal amount thereof at a rate per annum equal to the Base Rate plus two hundred fifty (250) basis points. Beginning January 1, 2006, each Loan shall bear interest on the outstanding principal amount thereof at a rate per annum equal to the Base Rate plus three hundred fifty (350) basis points.”</w:t>
      </w:r>
    </w:p>
    <w:p>
      <w:pPr>
        <w:spacing w:after="0" w:line="130" w:lineRule="exact"/>
        <w:rPr>
          <w:sz w:val="20"/>
          <w:szCs w:val="20"/>
          <w:color w:val="auto"/>
        </w:rPr>
      </w:pPr>
    </w:p>
    <w:p>
      <w:pPr>
        <w:ind w:left="640"/>
        <w:spacing w:after="0"/>
        <w:tabs>
          <w:tab w:leader="none" w:pos="134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3"/>
          <w:szCs w:val="13"/>
          <w:u w:val="single" w:color="auto"/>
          <w:color w:val="auto"/>
        </w:rPr>
        <w:t>Mandatory Principal Payments</w:t>
      </w:r>
      <w:r>
        <w:rPr>
          <w:rFonts w:ascii="Times New Roman" w:cs="Times New Roman" w:eastAsia="Times New Roman" w:hAnsi="Times New Roman"/>
          <w:sz w:val="13"/>
          <w:szCs w:val="13"/>
          <w:color w:val="auto"/>
        </w:rPr>
        <w:t>. Section 4.3 of the Third Amendment is amended and restated to read as follows:</w:t>
      </w:r>
    </w:p>
    <w:p>
      <w:pPr>
        <w:spacing w:after="0" w:line="14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color w:val="auto"/>
        </w:rPr>
        <w:t>“Borrower shall make the following principal payments on the Loan:</w:t>
      </w:r>
    </w:p>
    <w:p>
      <w:pPr>
        <w:spacing w:after="0" w:line="152" w:lineRule="exact"/>
        <w:rPr>
          <w:sz w:val="20"/>
          <w:szCs w:val="20"/>
          <w:color w:val="auto"/>
        </w:rPr>
      </w:pPr>
    </w:p>
    <w:tbl>
      <w:tblPr>
        <w:tblLayout w:type="fixed"/>
        <w:tblInd w:w="2060" w:type="dxa"/>
        <w:tblCellMar>
          <w:top w:w="0" w:type="dxa"/>
          <w:left w:w="0" w:type="dxa"/>
          <w:bottom w:w="0" w:type="dxa"/>
          <w:right w:w="0" w:type="dxa"/>
        </w:tblCellMar>
      </w:tblPr>
      <w:tr>
        <w:trPr>
          <w:trHeight w:val="180"/>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Date</w:t>
            </w:r>
          </w:p>
        </w:tc>
        <w:tc>
          <w:tcPr>
            <w:tcW w:w="226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w w:val="96"/>
              </w:rPr>
              <w:t>Principal Payment 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-101600</wp:posOffset>
            </wp:positionV>
            <wp:extent cx="2856865" cy="2012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56865" cy="201295"/>
                    </a:xfrm>
                    <a:prstGeom prst="rect">
                      <a:avLst/>
                    </a:prstGeom>
                    <a:noFill/>
                  </pic:spPr>
                </pic:pic>
              </a:graphicData>
            </a:graphic>
          </wp:anchor>
        </w:drawing>
      </w:r>
    </w:p>
    <w:p>
      <w:pPr>
        <w:spacing w:after="0" w:line="35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193675</wp:posOffset>
            </wp:positionV>
            <wp:extent cx="636016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60160" cy="43180"/>
                    </a:xfrm>
                    <a:prstGeom prst="rect">
                      <a:avLst/>
                    </a:prstGeom>
                    <a:noFill/>
                  </pic:spPr>
                </pic:pic>
              </a:graphicData>
            </a:graphic>
          </wp:anchor>
        </w:drawing>
      </w:r>
    </w:p>
    <w:p>
      <w:pPr>
        <w:sectPr>
          <w:pgSz w:w="11900" w:h="16838" w:orient="portrait"/>
          <w:cols w:equalWidth="0" w:num="1">
            <w:col w:w="9260"/>
          </w:cols>
          <w:pgMar w:left="1440" w:top="124" w:right="1199" w:bottom="1440" w:gutter="0" w:footer="0" w:header="0"/>
        </w:sectPr>
      </w:pPr>
    </w:p>
    <w:bookmarkStart w:id="57" w:name="page58"/>
    <w:bookmarkEnd w:id="57"/>
    <w:tbl>
      <w:tblPr>
        <w:tblLayout w:type="fixed"/>
        <w:tblInd w:w="1370" w:type="dxa"/>
        <w:tblCellMar>
          <w:top w:w="0" w:type="dxa"/>
          <w:left w:w="0" w:type="dxa"/>
          <w:bottom w:w="0" w:type="dxa"/>
          <w:right w:w="0" w:type="dxa"/>
        </w:tblCellMar>
      </w:tblPr>
      <w:tr>
        <w:trPr>
          <w:trHeight w:val="185"/>
        </w:trPr>
        <w:tc>
          <w:tcPr>
            <w:tcW w:w="280" w:type="dxa"/>
            <w:vAlign w:val="bottom"/>
            <w:tcBorders>
              <w:top w:val="single" w:sz="8" w:color="auto"/>
              <w:left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left="233"/>
              <w:spacing w:after="0"/>
              <w:rPr>
                <w:sz w:val="20"/>
                <w:szCs w:val="20"/>
                <w:color w:val="auto"/>
              </w:rPr>
            </w:pPr>
            <w:r>
              <w:rPr>
                <w:rFonts w:ascii="Times New Roman" w:cs="Times New Roman" w:eastAsia="Times New Roman" w:hAnsi="Times New Roman"/>
                <w:sz w:val="14"/>
                <w:szCs w:val="14"/>
                <w:color w:val="auto"/>
                <w:w w:val="97"/>
              </w:rPr>
              <w:t>July 25, 2025</w:t>
            </w:r>
          </w:p>
        </w:tc>
        <w:tc>
          <w:tcPr>
            <w:tcW w:w="380" w:type="dxa"/>
            <w:vAlign w:val="bottom"/>
            <w:tcBorders>
              <w:top w:val="single" w:sz="8" w:color="auto"/>
            </w:tcBorders>
          </w:tcPr>
          <w:p>
            <w:pPr>
              <w:spacing w:after="0"/>
              <w:rPr>
                <w:sz w:val="16"/>
                <w:szCs w:val="16"/>
                <w:color w:val="auto"/>
              </w:rPr>
            </w:pPr>
          </w:p>
        </w:tc>
        <w:tc>
          <w:tcPr>
            <w:tcW w:w="200" w:type="dxa"/>
            <w:vAlign w:val="bottom"/>
            <w:tcBorders>
              <w:top w:val="single" w:sz="8" w:color="auto"/>
              <w:right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$500,000.00</w:t>
            </w:r>
          </w:p>
        </w:tc>
        <w:tc>
          <w:tcPr>
            <w:tcW w:w="720" w:type="dxa"/>
            <w:vAlign w:val="bottom"/>
            <w:tcBorders>
              <w:top w:val="single" w:sz="8" w:color="auto"/>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22"/>
        </w:trPr>
        <w:tc>
          <w:tcPr>
            <w:tcW w:w="280" w:type="dxa"/>
            <w:vAlign w:val="bottom"/>
            <w:tcBorders>
              <w:left w:val="single" w:sz="8" w:color="auto"/>
              <w:bottom w:val="single" w:sz="8" w:color="auto"/>
            </w:tcBorders>
          </w:tcPr>
          <w:p>
            <w:pPr>
              <w:spacing w:after="0"/>
              <w:rPr>
                <w:sz w:val="10"/>
                <w:szCs w:val="10"/>
                <w:color w:val="auto"/>
              </w:rPr>
            </w:pPr>
          </w:p>
        </w:tc>
        <w:tc>
          <w:tcPr>
            <w:tcW w:w="1360" w:type="dxa"/>
            <w:vAlign w:val="bottom"/>
            <w:tcBorders>
              <w:bottom w:val="single" w:sz="8" w:color="auto"/>
            </w:tcBorders>
            <w:gridSpan w:val="2"/>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65"/>
        </w:trPr>
        <w:tc>
          <w:tcPr>
            <w:tcW w:w="280" w:type="dxa"/>
            <w:vAlign w:val="bottom"/>
            <w:tcBorders>
              <w:left w:val="single" w:sz="8" w:color="auto"/>
            </w:tcBorders>
          </w:tcPr>
          <w:p>
            <w:pPr>
              <w:spacing w:after="0"/>
              <w:rPr>
                <w:sz w:val="14"/>
                <w:szCs w:val="14"/>
                <w:color w:val="auto"/>
              </w:rPr>
            </w:pPr>
          </w:p>
        </w:tc>
        <w:tc>
          <w:tcPr>
            <w:tcW w:w="1360" w:type="dxa"/>
            <w:vAlign w:val="bottom"/>
            <w:gridSpan w:val="2"/>
          </w:tcPr>
          <w:p>
            <w:pPr>
              <w:jc w:val="center"/>
              <w:ind w:left="213"/>
              <w:spacing w:after="0"/>
              <w:rPr>
                <w:sz w:val="20"/>
                <w:szCs w:val="20"/>
                <w:color w:val="auto"/>
              </w:rPr>
            </w:pPr>
            <w:r>
              <w:rPr>
                <w:rFonts w:ascii="Times New Roman" w:cs="Times New Roman" w:eastAsia="Times New Roman" w:hAnsi="Times New Roman"/>
                <w:sz w:val="14"/>
                <w:szCs w:val="14"/>
                <w:color w:val="auto"/>
                <w:w w:val="97"/>
              </w:rPr>
              <w:t>October 1, 2025</w:t>
            </w:r>
          </w:p>
        </w:tc>
        <w:tc>
          <w:tcPr>
            <w:tcW w:w="3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$50,000.00</w:t>
            </w:r>
          </w:p>
        </w:tc>
        <w:tc>
          <w:tcPr>
            <w:tcW w:w="72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22"/>
        </w:trPr>
        <w:tc>
          <w:tcPr>
            <w:tcW w:w="280" w:type="dxa"/>
            <w:vAlign w:val="bottom"/>
            <w:tcBorders>
              <w:left w:val="single" w:sz="8" w:color="auto"/>
              <w:bottom w:val="single" w:sz="8" w:color="auto"/>
            </w:tcBorders>
          </w:tcPr>
          <w:p>
            <w:pPr>
              <w:spacing w:after="0"/>
              <w:rPr>
                <w:sz w:val="10"/>
                <w:szCs w:val="10"/>
                <w:color w:val="auto"/>
              </w:rPr>
            </w:pPr>
          </w:p>
        </w:tc>
        <w:tc>
          <w:tcPr>
            <w:tcW w:w="1360" w:type="dxa"/>
            <w:vAlign w:val="bottom"/>
            <w:tcBorders>
              <w:bottom w:val="single" w:sz="8" w:color="auto"/>
            </w:tcBorders>
            <w:gridSpan w:val="2"/>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65"/>
        </w:trPr>
        <w:tc>
          <w:tcPr>
            <w:tcW w:w="280" w:type="dxa"/>
            <w:vAlign w:val="bottom"/>
            <w:tcBorders>
              <w:left w:val="single" w:sz="8" w:color="auto"/>
            </w:tcBorders>
          </w:tcPr>
          <w:p>
            <w:pPr>
              <w:spacing w:after="0"/>
              <w:rPr>
                <w:sz w:val="14"/>
                <w:szCs w:val="14"/>
                <w:color w:val="auto"/>
              </w:rPr>
            </w:pPr>
          </w:p>
        </w:tc>
        <w:tc>
          <w:tcPr>
            <w:tcW w:w="1360" w:type="dxa"/>
            <w:vAlign w:val="bottom"/>
            <w:gridSpan w:val="2"/>
          </w:tcPr>
          <w:p>
            <w:pPr>
              <w:jc w:val="center"/>
              <w:ind w:left="233"/>
              <w:spacing w:after="0"/>
              <w:rPr>
                <w:sz w:val="20"/>
                <w:szCs w:val="20"/>
                <w:color w:val="auto"/>
              </w:rPr>
            </w:pPr>
            <w:r>
              <w:rPr>
                <w:rFonts w:ascii="Times New Roman" w:cs="Times New Roman" w:eastAsia="Times New Roman" w:hAnsi="Times New Roman"/>
                <w:sz w:val="14"/>
                <w:szCs w:val="14"/>
                <w:color w:val="auto"/>
                <w:w w:val="97"/>
              </w:rPr>
              <w:t>November 3, 2025</w:t>
            </w:r>
          </w:p>
        </w:tc>
        <w:tc>
          <w:tcPr>
            <w:tcW w:w="3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$50,000.00</w:t>
            </w:r>
          </w:p>
        </w:tc>
        <w:tc>
          <w:tcPr>
            <w:tcW w:w="72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22"/>
        </w:trPr>
        <w:tc>
          <w:tcPr>
            <w:tcW w:w="280" w:type="dxa"/>
            <w:vAlign w:val="bottom"/>
            <w:tcBorders>
              <w:left w:val="single" w:sz="8" w:color="auto"/>
              <w:bottom w:val="single" w:sz="8" w:color="auto"/>
            </w:tcBorders>
          </w:tcPr>
          <w:p>
            <w:pPr>
              <w:spacing w:after="0"/>
              <w:rPr>
                <w:sz w:val="10"/>
                <w:szCs w:val="10"/>
                <w:color w:val="auto"/>
              </w:rPr>
            </w:pPr>
          </w:p>
        </w:tc>
        <w:tc>
          <w:tcPr>
            <w:tcW w:w="1360" w:type="dxa"/>
            <w:vAlign w:val="bottom"/>
            <w:tcBorders>
              <w:bottom w:val="single" w:sz="8" w:color="auto"/>
            </w:tcBorders>
            <w:gridSpan w:val="2"/>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65"/>
        </w:trPr>
        <w:tc>
          <w:tcPr>
            <w:tcW w:w="280" w:type="dxa"/>
            <w:vAlign w:val="bottom"/>
            <w:tcBorders>
              <w:left w:val="single" w:sz="8" w:color="auto"/>
            </w:tcBorders>
          </w:tcPr>
          <w:p>
            <w:pPr>
              <w:spacing w:after="0"/>
              <w:rPr>
                <w:sz w:val="14"/>
                <w:szCs w:val="14"/>
                <w:color w:val="auto"/>
              </w:rPr>
            </w:pPr>
          </w:p>
        </w:tc>
        <w:tc>
          <w:tcPr>
            <w:tcW w:w="1360" w:type="dxa"/>
            <w:vAlign w:val="bottom"/>
            <w:gridSpan w:val="2"/>
          </w:tcPr>
          <w:p>
            <w:pPr>
              <w:jc w:val="center"/>
              <w:ind w:left="213"/>
              <w:spacing w:after="0"/>
              <w:rPr>
                <w:sz w:val="20"/>
                <w:szCs w:val="20"/>
                <w:color w:val="auto"/>
              </w:rPr>
            </w:pPr>
            <w:r>
              <w:rPr>
                <w:rFonts w:ascii="Times New Roman" w:cs="Times New Roman" w:eastAsia="Times New Roman" w:hAnsi="Times New Roman"/>
                <w:sz w:val="14"/>
                <w:szCs w:val="14"/>
                <w:color w:val="auto"/>
                <w:w w:val="97"/>
              </w:rPr>
              <w:t>December 1, 2025</w:t>
            </w:r>
          </w:p>
        </w:tc>
        <w:tc>
          <w:tcPr>
            <w:tcW w:w="3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$400,000.00</w:t>
            </w:r>
          </w:p>
        </w:tc>
        <w:tc>
          <w:tcPr>
            <w:tcW w:w="72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22"/>
        </w:trPr>
        <w:tc>
          <w:tcPr>
            <w:tcW w:w="280" w:type="dxa"/>
            <w:vAlign w:val="bottom"/>
            <w:tcBorders>
              <w:left w:val="single" w:sz="8" w:color="auto"/>
              <w:bottom w:val="single" w:sz="8" w:color="auto"/>
            </w:tcBorders>
          </w:tcPr>
          <w:p>
            <w:pPr>
              <w:spacing w:after="0"/>
              <w:rPr>
                <w:sz w:val="10"/>
                <w:szCs w:val="10"/>
                <w:color w:val="auto"/>
              </w:rPr>
            </w:pPr>
          </w:p>
        </w:tc>
        <w:tc>
          <w:tcPr>
            <w:tcW w:w="1360" w:type="dxa"/>
            <w:vAlign w:val="bottom"/>
            <w:tcBorders>
              <w:bottom w:val="single" w:sz="8" w:color="auto"/>
            </w:tcBorders>
            <w:gridSpan w:val="2"/>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65"/>
        </w:trPr>
        <w:tc>
          <w:tcPr>
            <w:tcW w:w="280" w:type="dxa"/>
            <w:vAlign w:val="bottom"/>
            <w:tcBorders>
              <w:left w:val="single" w:sz="8" w:color="auto"/>
            </w:tcBorders>
          </w:tcPr>
          <w:p>
            <w:pPr>
              <w:spacing w:after="0"/>
              <w:rPr>
                <w:sz w:val="14"/>
                <w:szCs w:val="14"/>
                <w:color w:val="auto"/>
              </w:rPr>
            </w:pPr>
          </w:p>
        </w:tc>
        <w:tc>
          <w:tcPr>
            <w:tcW w:w="1360" w:type="dxa"/>
            <w:vAlign w:val="bottom"/>
            <w:gridSpan w:val="2"/>
          </w:tcPr>
          <w:p>
            <w:pPr>
              <w:jc w:val="center"/>
              <w:ind w:left="213"/>
              <w:spacing w:after="0"/>
              <w:rPr>
                <w:sz w:val="20"/>
                <w:szCs w:val="20"/>
                <w:color w:val="auto"/>
              </w:rPr>
            </w:pPr>
            <w:r>
              <w:rPr>
                <w:rFonts w:ascii="Times New Roman" w:cs="Times New Roman" w:eastAsia="Times New Roman" w:hAnsi="Times New Roman"/>
                <w:sz w:val="14"/>
                <w:szCs w:val="14"/>
                <w:color w:val="auto"/>
                <w:w w:val="98"/>
              </w:rPr>
              <w:t>January 1, 2026</w:t>
            </w:r>
          </w:p>
        </w:tc>
        <w:tc>
          <w:tcPr>
            <w:tcW w:w="3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$50,000.00</w:t>
            </w:r>
          </w:p>
        </w:tc>
        <w:tc>
          <w:tcPr>
            <w:tcW w:w="72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22"/>
        </w:trPr>
        <w:tc>
          <w:tcPr>
            <w:tcW w:w="280" w:type="dxa"/>
            <w:vAlign w:val="bottom"/>
            <w:tcBorders>
              <w:left w:val="single" w:sz="8" w:color="auto"/>
              <w:bottom w:val="single" w:sz="8" w:color="auto"/>
            </w:tcBorders>
          </w:tcPr>
          <w:p>
            <w:pPr>
              <w:spacing w:after="0"/>
              <w:rPr>
                <w:sz w:val="10"/>
                <w:szCs w:val="10"/>
                <w:color w:val="auto"/>
              </w:rPr>
            </w:pPr>
          </w:p>
        </w:tc>
        <w:tc>
          <w:tcPr>
            <w:tcW w:w="1360" w:type="dxa"/>
            <w:vAlign w:val="bottom"/>
            <w:tcBorders>
              <w:bottom w:val="single" w:sz="8" w:color="auto"/>
            </w:tcBorders>
            <w:gridSpan w:val="2"/>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65"/>
        </w:trPr>
        <w:tc>
          <w:tcPr>
            <w:tcW w:w="280" w:type="dxa"/>
            <w:vAlign w:val="bottom"/>
            <w:tcBorders>
              <w:left w:val="single" w:sz="8" w:color="auto"/>
            </w:tcBorders>
          </w:tcPr>
          <w:p>
            <w:pPr>
              <w:spacing w:after="0"/>
              <w:rPr>
                <w:sz w:val="14"/>
                <w:szCs w:val="14"/>
                <w:color w:val="auto"/>
              </w:rPr>
            </w:pPr>
          </w:p>
        </w:tc>
        <w:tc>
          <w:tcPr>
            <w:tcW w:w="1360" w:type="dxa"/>
            <w:vAlign w:val="bottom"/>
            <w:gridSpan w:val="2"/>
          </w:tcPr>
          <w:p>
            <w:pPr>
              <w:jc w:val="center"/>
              <w:ind w:left="233"/>
              <w:spacing w:after="0"/>
              <w:rPr>
                <w:sz w:val="20"/>
                <w:szCs w:val="20"/>
                <w:color w:val="auto"/>
              </w:rPr>
            </w:pPr>
            <w:r>
              <w:rPr>
                <w:rFonts w:ascii="Times New Roman" w:cs="Times New Roman" w:eastAsia="Times New Roman" w:hAnsi="Times New Roman"/>
                <w:sz w:val="14"/>
                <w:szCs w:val="14"/>
                <w:color w:val="auto"/>
                <w:w w:val="97"/>
              </w:rPr>
              <w:t>February 2, 2026</w:t>
            </w:r>
          </w:p>
        </w:tc>
        <w:tc>
          <w:tcPr>
            <w:tcW w:w="3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$50,000.00</w:t>
            </w:r>
          </w:p>
        </w:tc>
        <w:tc>
          <w:tcPr>
            <w:tcW w:w="72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22"/>
        </w:trPr>
        <w:tc>
          <w:tcPr>
            <w:tcW w:w="280" w:type="dxa"/>
            <w:vAlign w:val="bottom"/>
            <w:tcBorders>
              <w:left w:val="single" w:sz="8" w:color="auto"/>
              <w:bottom w:val="single" w:sz="8" w:color="auto"/>
            </w:tcBorders>
          </w:tcPr>
          <w:p>
            <w:pPr>
              <w:spacing w:after="0"/>
              <w:rPr>
                <w:sz w:val="10"/>
                <w:szCs w:val="10"/>
                <w:color w:val="auto"/>
              </w:rPr>
            </w:pPr>
          </w:p>
        </w:tc>
        <w:tc>
          <w:tcPr>
            <w:tcW w:w="1360" w:type="dxa"/>
            <w:vAlign w:val="bottom"/>
            <w:tcBorders>
              <w:bottom w:val="single" w:sz="8" w:color="auto"/>
            </w:tcBorders>
            <w:gridSpan w:val="2"/>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65"/>
        </w:trPr>
        <w:tc>
          <w:tcPr>
            <w:tcW w:w="280" w:type="dxa"/>
            <w:vAlign w:val="bottom"/>
            <w:tcBorders>
              <w:left w:val="single" w:sz="8" w:color="auto"/>
            </w:tcBorders>
          </w:tcPr>
          <w:p>
            <w:pPr>
              <w:spacing w:after="0"/>
              <w:rPr>
                <w:sz w:val="14"/>
                <w:szCs w:val="14"/>
                <w:color w:val="auto"/>
              </w:rPr>
            </w:pPr>
          </w:p>
        </w:tc>
        <w:tc>
          <w:tcPr>
            <w:tcW w:w="1360" w:type="dxa"/>
            <w:vAlign w:val="bottom"/>
            <w:gridSpan w:val="2"/>
          </w:tcPr>
          <w:p>
            <w:pPr>
              <w:jc w:val="center"/>
              <w:ind w:left="213"/>
              <w:spacing w:after="0"/>
              <w:rPr>
                <w:sz w:val="20"/>
                <w:szCs w:val="20"/>
                <w:color w:val="auto"/>
              </w:rPr>
            </w:pPr>
            <w:r>
              <w:rPr>
                <w:rFonts w:ascii="Times New Roman" w:cs="Times New Roman" w:eastAsia="Times New Roman" w:hAnsi="Times New Roman"/>
                <w:sz w:val="14"/>
                <w:szCs w:val="14"/>
                <w:color w:val="auto"/>
                <w:w w:val="97"/>
              </w:rPr>
              <w:t>March 2, 2026</w:t>
            </w:r>
          </w:p>
        </w:tc>
        <w:tc>
          <w:tcPr>
            <w:tcW w:w="3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$400,000.00</w:t>
            </w:r>
          </w:p>
        </w:tc>
        <w:tc>
          <w:tcPr>
            <w:tcW w:w="72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22"/>
        </w:trPr>
        <w:tc>
          <w:tcPr>
            <w:tcW w:w="280" w:type="dxa"/>
            <w:vAlign w:val="bottom"/>
            <w:tcBorders>
              <w:left w:val="single" w:sz="8" w:color="auto"/>
              <w:bottom w:val="single" w:sz="8" w:color="auto"/>
            </w:tcBorders>
          </w:tcPr>
          <w:p>
            <w:pPr>
              <w:spacing w:after="0"/>
              <w:rPr>
                <w:sz w:val="10"/>
                <w:szCs w:val="10"/>
                <w:color w:val="auto"/>
              </w:rPr>
            </w:pPr>
          </w:p>
        </w:tc>
        <w:tc>
          <w:tcPr>
            <w:tcW w:w="1360" w:type="dxa"/>
            <w:vAlign w:val="bottom"/>
            <w:tcBorders>
              <w:bottom w:val="single" w:sz="8" w:color="auto"/>
            </w:tcBorders>
            <w:gridSpan w:val="2"/>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65"/>
        </w:trPr>
        <w:tc>
          <w:tcPr>
            <w:tcW w:w="280" w:type="dxa"/>
            <w:vAlign w:val="bottom"/>
            <w:tcBorders>
              <w:left w:val="single" w:sz="8" w:color="auto"/>
            </w:tcBorders>
          </w:tcPr>
          <w:p>
            <w:pPr>
              <w:spacing w:after="0"/>
              <w:rPr>
                <w:sz w:val="14"/>
                <w:szCs w:val="14"/>
                <w:color w:val="auto"/>
              </w:rPr>
            </w:pPr>
          </w:p>
        </w:tc>
        <w:tc>
          <w:tcPr>
            <w:tcW w:w="1360" w:type="dxa"/>
            <w:vAlign w:val="bottom"/>
            <w:gridSpan w:val="2"/>
          </w:tcPr>
          <w:p>
            <w:pPr>
              <w:jc w:val="center"/>
              <w:ind w:left="213"/>
              <w:spacing w:after="0"/>
              <w:rPr>
                <w:sz w:val="20"/>
                <w:szCs w:val="20"/>
                <w:color w:val="auto"/>
              </w:rPr>
            </w:pPr>
            <w:r>
              <w:rPr>
                <w:rFonts w:ascii="Times New Roman" w:cs="Times New Roman" w:eastAsia="Times New Roman" w:hAnsi="Times New Roman"/>
                <w:sz w:val="14"/>
                <w:szCs w:val="14"/>
                <w:color w:val="auto"/>
                <w:w w:val="95"/>
              </w:rPr>
              <w:t>April 1, 2026</w:t>
            </w:r>
          </w:p>
        </w:tc>
        <w:tc>
          <w:tcPr>
            <w:tcW w:w="3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$50,000.00</w:t>
            </w:r>
          </w:p>
        </w:tc>
        <w:tc>
          <w:tcPr>
            <w:tcW w:w="72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22"/>
        </w:trPr>
        <w:tc>
          <w:tcPr>
            <w:tcW w:w="280" w:type="dxa"/>
            <w:vAlign w:val="bottom"/>
            <w:tcBorders>
              <w:left w:val="single" w:sz="8" w:color="auto"/>
              <w:bottom w:val="single" w:sz="8" w:color="auto"/>
            </w:tcBorders>
          </w:tcPr>
          <w:p>
            <w:pPr>
              <w:spacing w:after="0"/>
              <w:rPr>
                <w:sz w:val="10"/>
                <w:szCs w:val="10"/>
                <w:color w:val="auto"/>
              </w:rPr>
            </w:pPr>
          </w:p>
        </w:tc>
        <w:tc>
          <w:tcPr>
            <w:tcW w:w="1360" w:type="dxa"/>
            <w:vAlign w:val="bottom"/>
            <w:tcBorders>
              <w:bottom w:val="single" w:sz="8" w:color="auto"/>
            </w:tcBorders>
            <w:gridSpan w:val="2"/>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65"/>
        </w:trPr>
        <w:tc>
          <w:tcPr>
            <w:tcW w:w="280" w:type="dxa"/>
            <w:vAlign w:val="bottom"/>
            <w:tcBorders>
              <w:left w:val="single" w:sz="8" w:color="auto"/>
            </w:tcBorders>
          </w:tcPr>
          <w:p>
            <w:pPr>
              <w:spacing w:after="0"/>
              <w:rPr>
                <w:sz w:val="14"/>
                <w:szCs w:val="14"/>
                <w:color w:val="auto"/>
              </w:rPr>
            </w:pPr>
          </w:p>
        </w:tc>
        <w:tc>
          <w:tcPr>
            <w:tcW w:w="1360" w:type="dxa"/>
            <w:vAlign w:val="bottom"/>
            <w:gridSpan w:val="2"/>
          </w:tcPr>
          <w:p>
            <w:pPr>
              <w:jc w:val="center"/>
              <w:ind w:left="213"/>
              <w:spacing w:after="0"/>
              <w:rPr>
                <w:sz w:val="20"/>
                <w:szCs w:val="20"/>
                <w:color w:val="auto"/>
              </w:rPr>
            </w:pPr>
            <w:r>
              <w:rPr>
                <w:rFonts w:ascii="Times New Roman" w:cs="Times New Roman" w:eastAsia="Times New Roman" w:hAnsi="Times New Roman"/>
                <w:sz w:val="14"/>
                <w:szCs w:val="14"/>
                <w:color w:val="auto"/>
                <w:w w:val="95"/>
              </w:rPr>
              <w:t>May 1, 2026</w:t>
            </w:r>
          </w:p>
        </w:tc>
        <w:tc>
          <w:tcPr>
            <w:tcW w:w="3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$50,000.00</w:t>
            </w:r>
          </w:p>
        </w:tc>
        <w:tc>
          <w:tcPr>
            <w:tcW w:w="72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22"/>
        </w:trPr>
        <w:tc>
          <w:tcPr>
            <w:tcW w:w="280" w:type="dxa"/>
            <w:vAlign w:val="bottom"/>
            <w:tcBorders>
              <w:left w:val="single" w:sz="8" w:color="auto"/>
              <w:bottom w:val="single" w:sz="8" w:color="auto"/>
            </w:tcBorders>
          </w:tcPr>
          <w:p>
            <w:pPr>
              <w:spacing w:after="0"/>
              <w:rPr>
                <w:sz w:val="10"/>
                <w:szCs w:val="10"/>
                <w:color w:val="auto"/>
              </w:rPr>
            </w:pPr>
          </w:p>
        </w:tc>
        <w:tc>
          <w:tcPr>
            <w:tcW w:w="1360" w:type="dxa"/>
            <w:vAlign w:val="bottom"/>
            <w:tcBorders>
              <w:bottom w:val="single" w:sz="8" w:color="auto"/>
            </w:tcBorders>
            <w:gridSpan w:val="2"/>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2280" w:type="dxa"/>
            <w:vAlign w:val="bottom"/>
            <w:tcBorders>
              <w:bottom w:val="single" w:sz="8" w:color="auto"/>
              <w:right w:val="single" w:sz="8" w:color="auto"/>
            </w:tcBorders>
            <w:gridSpan w:val="3"/>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10"/>
        </w:trPr>
        <w:tc>
          <w:tcPr>
            <w:tcW w:w="280" w:type="dxa"/>
            <w:vAlign w:val="bottom"/>
            <w:tcBorders>
              <w:left w:val="single" w:sz="8" w:color="auto"/>
            </w:tcBorders>
          </w:tcPr>
          <w:p>
            <w:pPr>
              <w:spacing w:after="0"/>
              <w:rPr>
                <w:sz w:val="9"/>
                <w:szCs w:val="9"/>
                <w:color w:val="auto"/>
              </w:rPr>
            </w:pPr>
          </w:p>
        </w:tc>
        <w:tc>
          <w:tcPr>
            <w:tcW w:w="1360" w:type="dxa"/>
            <w:vAlign w:val="bottom"/>
            <w:gridSpan w:val="2"/>
          </w:tcPr>
          <w:p>
            <w:pPr>
              <w:jc w:val="center"/>
              <w:ind w:left="213"/>
              <w:spacing w:after="0" w:line="111" w:lineRule="exact"/>
              <w:rPr>
                <w:sz w:val="20"/>
                <w:szCs w:val="20"/>
                <w:color w:val="auto"/>
              </w:rPr>
            </w:pPr>
            <w:r>
              <w:rPr>
                <w:rFonts w:ascii="Times New Roman" w:cs="Times New Roman" w:eastAsia="Times New Roman" w:hAnsi="Times New Roman"/>
                <w:sz w:val="11"/>
                <w:szCs w:val="11"/>
                <w:color w:val="auto"/>
              </w:rPr>
              <w:t>Maturity Date</w:t>
            </w:r>
          </w:p>
        </w:tc>
        <w:tc>
          <w:tcPr>
            <w:tcW w:w="3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gridSpan w:val="3"/>
          </w:tcPr>
          <w:p>
            <w:pPr>
              <w:ind w:left="80"/>
              <w:spacing w:after="0" w:line="111" w:lineRule="exact"/>
              <w:rPr>
                <w:sz w:val="20"/>
                <w:szCs w:val="20"/>
                <w:color w:val="auto"/>
              </w:rPr>
            </w:pPr>
            <w:r>
              <w:rPr>
                <w:rFonts w:ascii="Times New Roman" w:cs="Times New Roman" w:eastAsia="Times New Roman" w:hAnsi="Times New Roman"/>
                <w:sz w:val="11"/>
                <w:szCs w:val="11"/>
                <w:color w:val="auto"/>
              </w:rPr>
              <w:t>The remaining outstanding balance of</w:t>
            </w: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176"/>
        </w:trPr>
        <w:tc>
          <w:tcPr>
            <w:tcW w:w="280" w:type="dxa"/>
            <w:vAlign w:val="bottom"/>
            <w:tcBorders>
              <w:lef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 Loans</w:t>
            </w:r>
          </w:p>
        </w:tc>
        <w:tc>
          <w:tcPr>
            <w:tcW w:w="720" w:type="dxa"/>
            <w:vAlign w:val="bottom"/>
            <w:tcBorders>
              <w:right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60"/>
        </w:trPr>
        <w:tc>
          <w:tcPr>
            <w:tcW w:w="280" w:type="dxa"/>
            <w:vAlign w:val="bottom"/>
            <w:tcBorders>
              <w:left w:val="single" w:sz="8" w:color="auto"/>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464"/>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In</w:t>
            </w:r>
          </w:p>
        </w:tc>
        <w:tc>
          <w:tcPr>
            <w:tcW w:w="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addition</w:t>
            </w:r>
          </w:p>
        </w:tc>
        <w:tc>
          <w:tcPr>
            <w:tcW w:w="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w:t>
            </w:r>
          </w:p>
        </w:tc>
        <w:tc>
          <w:tcPr>
            <w:tcW w:w="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the</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foregoing</w:t>
            </w:r>
          </w:p>
        </w:tc>
        <w:tc>
          <w:tcPr>
            <w:tcW w:w="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principal</w:t>
            </w: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w:t>
            </w:r>
          </w:p>
        </w:tc>
        <w:tc>
          <w:tcPr>
            <w:tcW w:w="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on</w:t>
            </w:r>
          </w:p>
        </w:tc>
        <w:tc>
          <w:tcPr>
            <w:tcW w:w="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or</w:t>
            </w: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before</w:t>
            </w:r>
          </w:p>
        </w:tc>
        <w:tc>
          <w:tcPr>
            <w:tcW w:w="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December</w:t>
            </w: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30,</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r>
    </w:tbl>
    <w:p>
      <w:pPr>
        <w:ind w:left="1360"/>
        <w:spacing w:after="0" w:line="238" w:lineRule="auto"/>
        <w:rPr>
          <w:sz w:val="20"/>
          <w:szCs w:val="20"/>
          <w:color w:val="auto"/>
        </w:rPr>
      </w:pPr>
      <w:r>
        <w:rPr>
          <w:rFonts w:ascii="Times New Roman" w:cs="Times New Roman" w:eastAsia="Times New Roman" w:hAnsi="Times New Roman"/>
          <w:sz w:val="14"/>
          <w:szCs w:val="14"/>
          <w:color w:val="auto"/>
        </w:rPr>
        <w:t>Borrower shall make a principal payment in the amount of $1,000,000 (the “</w:t>
      </w:r>
      <w:r>
        <w:rPr>
          <w:rFonts w:ascii="Times New Roman" w:cs="Times New Roman" w:eastAsia="Times New Roman" w:hAnsi="Times New Roman"/>
          <w:sz w:val="14"/>
          <w:szCs w:val="14"/>
          <w:u w:val="single" w:color="auto"/>
          <w:color w:val="auto"/>
        </w:rPr>
        <w:t>Tenth Amendment Additional Payment</w:t>
      </w:r>
      <w:r>
        <w:rPr>
          <w:rFonts w:ascii="Times New Roman" w:cs="Times New Roman" w:eastAsia="Times New Roman" w:hAnsi="Times New Roman"/>
          <w:sz w:val="14"/>
          <w:szCs w:val="14"/>
          <w:color w:val="auto"/>
        </w:rPr>
        <w:t>”), which shall be applied to the Loan’s principal balance in inverse order of maturity.”</w:t>
      </w:r>
    </w:p>
    <w:p>
      <w:pPr>
        <w:spacing w:after="0" w:line="132" w:lineRule="exact"/>
        <w:rPr>
          <w:sz w:val="20"/>
          <w:szCs w:val="20"/>
          <w:color w:val="auto"/>
        </w:rPr>
      </w:pPr>
    </w:p>
    <w:p>
      <w:pPr>
        <w:ind w:left="900"/>
        <w:spacing w:after="0"/>
        <w:tabs>
          <w:tab w:leader="none" w:pos="1600" w:val="left"/>
        </w:tabs>
        <w:rPr>
          <w:sz w:val="20"/>
          <w:szCs w:val="20"/>
          <w:color w:val="auto"/>
        </w:rPr>
      </w:pP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w:t>
      </w:r>
    </w:p>
    <w:p>
      <w:pPr>
        <w:spacing w:after="0" w:line="152" w:lineRule="exact"/>
        <w:rPr>
          <w:sz w:val="20"/>
          <w:szCs w:val="20"/>
          <w:color w:val="auto"/>
        </w:rPr>
      </w:pPr>
    </w:p>
    <w:p>
      <w:pPr>
        <w:ind w:left="1160" w:hanging="704"/>
        <w:spacing w:after="0"/>
        <w:tabs>
          <w:tab w:leader="none" w:pos="11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General Release</w:t>
      </w:r>
      <w:r>
        <w:rPr>
          <w:rFonts w:ascii="Times New Roman" w:cs="Times New Roman" w:eastAsia="Times New Roman" w:hAnsi="Times New Roman"/>
          <w:sz w:val="14"/>
          <w:szCs w:val="14"/>
          <w:color w:val="auto"/>
        </w:rPr>
        <w:t>. From and after the effective date of this Tenth Amendment, the Borrower and each Guarantor hereby agrees that, without any further</w:t>
      </w:r>
    </w:p>
    <w:p>
      <w:pPr>
        <w:spacing w:after="0" w:line="15" w:lineRule="exact"/>
        <w:rPr>
          <w:sz w:val="20"/>
          <w:szCs w:val="20"/>
          <w:color w:val="auto"/>
        </w:rPr>
      </w:pPr>
    </w:p>
    <w:p>
      <w:pPr>
        <w:jc w:val="both"/>
        <w:ind w:right="820"/>
        <w:spacing w:after="0" w:line="236" w:lineRule="auto"/>
        <w:rPr>
          <w:sz w:val="20"/>
          <w:szCs w:val="20"/>
          <w:color w:val="auto"/>
        </w:rPr>
      </w:pPr>
      <w:r>
        <w:rPr>
          <w:rFonts w:ascii="Times New Roman" w:cs="Times New Roman" w:eastAsia="Times New Roman" w:hAnsi="Times New Roman"/>
          <w:sz w:val="14"/>
          <w:szCs w:val="14"/>
          <w:color w:val="auto"/>
        </w:rPr>
        <w:t>act, the Administrative Agent, each Lender and each other Secured Party is fully and forever released and discharged from any and all claims for damages or losses to the Borrower, any Guarantor, or to any property of the Borrower or any Guarantor (whether any such damages or losses are known or unknown, foreseen or unforeseen, or patent or latent), including, without limitation, any tort claim, demand, action or cause of action of any nature, whatsoever, arising under or relating to the Credit Agreement or the other Loan Documents or any of the transactions related thereto, in each case, prior to the date hereof, and the Borrower and each Guarantor hereby waive application of California Civil Code Section 1542. The Borrower and each Guarantor certify that they have read the following provisions of California Civil Code Section 1542:</w:t>
      </w:r>
    </w:p>
    <w:p>
      <w:pPr>
        <w:spacing w:after="0" w:line="131" w:lineRule="exact"/>
        <w:rPr>
          <w:sz w:val="20"/>
          <w:szCs w:val="20"/>
          <w:color w:val="auto"/>
        </w:rPr>
      </w:pPr>
    </w:p>
    <w:p>
      <w:pPr>
        <w:ind w:left="460" w:right="820"/>
        <w:spacing w:after="0" w:line="263" w:lineRule="auto"/>
        <w:rPr>
          <w:sz w:val="20"/>
          <w:szCs w:val="20"/>
          <w:color w:val="auto"/>
        </w:rPr>
      </w:pPr>
      <w:r>
        <w:rPr>
          <w:rFonts w:ascii="Times New Roman" w:cs="Times New Roman" w:eastAsia="Times New Roman" w:hAnsi="Times New Roman"/>
          <w:sz w:val="14"/>
          <w:szCs w:val="14"/>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31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193675</wp:posOffset>
            </wp:positionV>
            <wp:extent cx="636016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60160" cy="43180"/>
                    </a:xfrm>
                    <a:prstGeom prst="rect">
                      <a:avLst/>
                    </a:prstGeom>
                    <a:noFill/>
                  </pic:spPr>
                </pic:pic>
              </a:graphicData>
            </a:graphic>
          </wp:anchor>
        </w:drawing>
      </w:r>
    </w:p>
    <w:p>
      <w:pPr>
        <w:sectPr>
          <w:pgSz w:w="11900" w:h="16838" w:orient="portrait"/>
          <w:cols w:equalWidth="0" w:num="1">
            <w:col w:w="10340"/>
          </w:cols>
          <w:pgMar w:left="1180" w:top="120" w:right="379" w:bottom="1440" w:gutter="0" w:footer="0" w:header="0"/>
        </w:sectPr>
      </w:pPr>
    </w:p>
    <w:bookmarkStart w:id="58" w:name="page59"/>
    <w:bookmarkEnd w:id="58"/>
    <w:p>
      <w:pPr>
        <w:jc w:val="both"/>
        <w:spacing w:after="0" w:line="243" w:lineRule="auto"/>
        <w:rPr>
          <w:sz w:val="20"/>
          <w:szCs w:val="20"/>
          <w:color w:val="auto"/>
        </w:rPr>
      </w:pPr>
      <w:r>
        <w:rPr>
          <w:rFonts w:ascii="Times New Roman" w:cs="Times New Roman" w:eastAsia="Times New Roman" w:hAnsi="Times New Roman"/>
          <w:sz w:val="14"/>
          <w:szCs w:val="14"/>
          <w:color w:val="auto"/>
        </w:rPr>
        <w:t>The Borrower and each Guarantor understands and acknowledges that the significance and consequence of this waiver of California Civil Code Section 1542 is that even if the Borrower or such Guarantor should eventually suffer additional damages arising out of the facts referred to above, it will not be able to make any claim for those damages. Furthermore, the Borrower and each Guarantor acknowledge that they intend</w:t>
      </w:r>
    </w:p>
    <w:p>
      <w:pPr>
        <w:jc w:val="both"/>
        <w:spacing w:after="0" w:line="237" w:lineRule="auto"/>
        <w:rPr>
          <w:sz w:val="20"/>
          <w:szCs w:val="20"/>
          <w:color w:val="auto"/>
        </w:rPr>
      </w:pPr>
      <w:r>
        <w:rPr>
          <w:rFonts w:ascii="Times New Roman" w:cs="Times New Roman" w:eastAsia="Times New Roman" w:hAnsi="Times New Roman"/>
          <w:sz w:val="14"/>
          <w:szCs w:val="14"/>
          <w:color w:val="auto"/>
        </w:rPr>
        <w:t>these consequences even as to claims for damages that may exist as of the date of this release but which the Borrower or such Guarantor does not know exist, and which, if known, would materially affect the Borrower’s or such Guarantor’s decision to execute this Tenth Amendment, regardless of whether the Borrower’s or such Guarantor’s lack of knowledge is the result of ignorance, oversight, error, negligence, or any other cause.</w:t>
      </w:r>
    </w:p>
    <w:p>
      <w:pPr>
        <w:spacing w:after="0" w:line="129" w:lineRule="exact"/>
        <w:rPr>
          <w:sz w:val="20"/>
          <w:szCs w:val="20"/>
          <w:color w:val="auto"/>
        </w:rPr>
      </w:pPr>
    </w:p>
    <w:p>
      <w:pPr>
        <w:ind w:left="1160" w:hanging="704"/>
        <w:spacing w:after="0"/>
        <w:tabs>
          <w:tab w:leader="none" w:pos="116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Conditions Precedent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This Tenth Amendment shall become effective as of the date first set forth above upon satisfaction of the following conditions:</w:t>
      </w:r>
    </w:p>
    <w:p>
      <w:pPr>
        <w:spacing w:after="0" w:line="162" w:lineRule="exact"/>
        <w:rPr>
          <w:sz w:val="20"/>
          <w:szCs w:val="20"/>
          <w:color w:val="auto"/>
        </w:rPr>
      </w:pPr>
    </w:p>
    <w:p>
      <w:pPr>
        <w:ind w:left="900"/>
        <w:spacing w:after="0"/>
        <w:tabs>
          <w:tab w:leader="none" w:pos="1900" w:val="left"/>
          <w:tab w:leader="none" w:pos="2480" w:val="left"/>
          <w:tab w:leader="none" w:pos="3140" w:val="left"/>
          <w:tab w:leader="none" w:pos="4200" w:val="left"/>
          <w:tab w:leader="none" w:pos="4760" w:val="left"/>
          <w:tab w:leader="none" w:pos="5920" w:val="left"/>
          <w:tab w:leader="none" w:pos="6620" w:val="left"/>
          <w:tab w:leader="none" w:pos="7220" w:val="left"/>
          <w:tab w:leader="none" w:pos="7820" w:val="left"/>
          <w:tab w:leader="none" w:pos="8640" w:val="left"/>
          <w:tab w:leader="none" w:pos="920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color w:val="auto"/>
        </w:rPr>
        <w:t>This</w:t>
      </w:r>
      <w:r>
        <w:rPr>
          <w:sz w:val="20"/>
          <w:szCs w:val="20"/>
          <w:color w:val="auto"/>
        </w:rPr>
        <w:tab/>
      </w:r>
      <w:r>
        <w:rPr>
          <w:rFonts w:ascii="Times New Roman" w:cs="Times New Roman" w:eastAsia="Times New Roman" w:hAnsi="Times New Roman"/>
          <w:sz w:val="14"/>
          <w:szCs w:val="14"/>
          <w:color w:val="auto"/>
        </w:rPr>
        <w:t>Tenth</w:t>
      </w:r>
      <w:r>
        <w:rPr>
          <w:sz w:val="20"/>
          <w:szCs w:val="20"/>
          <w:color w:val="auto"/>
        </w:rPr>
        <w:tab/>
      </w:r>
      <w:r>
        <w:rPr>
          <w:rFonts w:ascii="Times New Roman" w:cs="Times New Roman" w:eastAsia="Times New Roman" w:hAnsi="Times New Roman"/>
          <w:sz w:val="14"/>
          <w:szCs w:val="14"/>
          <w:color w:val="auto"/>
        </w:rPr>
        <w:t>Amendment.</w:t>
      </w:r>
      <w:r>
        <w:rPr>
          <w:sz w:val="20"/>
          <w:szCs w:val="20"/>
          <w:color w:val="auto"/>
        </w:rPr>
        <w:tab/>
      </w:r>
      <w:r>
        <w:rPr>
          <w:rFonts w:ascii="Times New Roman" w:cs="Times New Roman" w:eastAsia="Times New Roman" w:hAnsi="Times New Roman"/>
          <w:sz w:val="14"/>
          <w:szCs w:val="14"/>
          <w:color w:val="auto"/>
        </w:rPr>
        <w:t>The</w:t>
      </w:r>
      <w:r>
        <w:rPr>
          <w:sz w:val="20"/>
          <w:szCs w:val="20"/>
          <w:color w:val="auto"/>
        </w:rPr>
        <w:tab/>
      </w:r>
      <w:r>
        <w:rPr>
          <w:rFonts w:ascii="Times New Roman" w:cs="Times New Roman" w:eastAsia="Times New Roman" w:hAnsi="Times New Roman"/>
          <w:sz w:val="14"/>
          <w:szCs w:val="14"/>
          <w:color w:val="auto"/>
        </w:rPr>
        <w:t>Administrative</w:t>
      </w:r>
      <w:r>
        <w:rPr>
          <w:sz w:val="20"/>
          <w:szCs w:val="20"/>
          <w:color w:val="auto"/>
        </w:rPr>
        <w:tab/>
      </w:r>
      <w:r>
        <w:rPr>
          <w:rFonts w:ascii="Times New Roman" w:cs="Times New Roman" w:eastAsia="Times New Roman" w:hAnsi="Times New Roman"/>
          <w:sz w:val="14"/>
          <w:szCs w:val="14"/>
          <w:color w:val="auto"/>
        </w:rPr>
        <w:t>Agent</w:t>
      </w:r>
      <w:r>
        <w:rPr>
          <w:sz w:val="20"/>
          <w:szCs w:val="20"/>
          <w:color w:val="auto"/>
        </w:rPr>
        <w:tab/>
      </w:r>
      <w:r>
        <w:rPr>
          <w:rFonts w:ascii="Times New Roman" w:cs="Times New Roman" w:eastAsia="Times New Roman" w:hAnsi="Times New Roman"/>
          <w:sz w:val="14"/>
          <w:szCs w:val="14"/>
          <w:color w:val="auto"/>
        </w:rPr>
        <w:t>shall</w:t>
      </w:r>
      <w:r>
        <w:rPr>
          <w:sz w:val="20"/>
          <w:szCs w:val="20"/>
          <w:color w:val="auto"/>
        </w:rPr>
        <w:tab/>
      </w:r>
      <w:r>
        <w:rPr>
          <w:rFonts w:ascii="Times New Roman" w:cs="Times New Roman" w:eastAsia="Times New Roman" w:hAnsi="Times New Roman"/>
          <w:sz w:val="14"/>
          <w:szCs w:val="14"/>
          <w:color w:val="auto"/>
        </w:rPr>
        <w:t>have</w:t>
      </w:r>
      <w:r>
        <w:rPr>
          <w:sz w:val="20"/>
          <w:szCs w:val="20"/>
          <w:color w:val="auto"/>
        </w:rPr>
        <w:tab/>
      </w:r>
      <w:r>
        <w:rPr>
          <w:rFonts w:ascii="Times New Roman" w:cs="Times New Roman" w:eastAsia="Times New Roman" w:hAnsi="Times New Roman"/>
          <w:sz w:val="14"/>
          <w:szCs w:val="14"/>
          <w:color w:val="auto"/>
        </w:rPr>
        <w:t>received</w:t>
      </w:r>
      <w:r>
        <w:rPr>
          <w:sz w:val="20"/>
          <w:szCs w:val="20"/>
          <w:color w:val="auto"/>
        </w:rPr>
        <w:tab/>
      </w:r>
      <w:r>
        <w:rPr>
          <w:rFonts w:ascii="Times New Roman" w:cs="Times New Roman" w:eastAsia="Times New Roman" w:hAnsi="Times New Roman"/>
          <w:sz w:val="14"/>
          <w:szCs w:val="14"/>
          <w:color w:val="auto"/>
        </w:rPr>
        <w:t>this</w:t>
      </w:r>
      <w:r>
        <w:rPr>
          <w:sz w:val="20"/>
          <w:szCs w:val="20"/>
          <w:color w:val="auto"/>
        </w:rPr>
        <w:tab/>
      </w:r>
      <w:r>
        <w:rPr>
          <w:rFonts w:ascii="Times New Roman" w:cs="Times New Roman" w:eastAsia="Times New Roman" w:hAnsi="Times New Roman"/>
          <w:sz w:val="11"/>
          <w:szCs w:val="11"/>
          <w:color w:val="auto"/>
        </w:rPr>
        <w:t>Tenth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1219835</wp:posOffset>
            </wp:positionH>
            <wp:positionV relativeFrom="paragraph">
              <wp:posOffset>-9525</wp:posOffset>
            </wp:positionV>
            <wp:extent cx="121221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4"/>
          <w:szCs w:val="14"/>
          <w:color w:val="auto"/>
        </w:rPr>
        <w:t>Amendment duly executed by the Borrower, the Guarantors, and each of the Lenders, as applicable;</w:t>
      </w:r>
    </w:p>
    <w:p>
      <w:pPr>
        <w:spacing w:after="0" w:line="132" w:lineRule="exact"/>
        <w:rPr>
          <w:sz w:val="20"/>
          <w:szCs w:val="20"/>
          <w:color w:val="auto"/>
        </w:rPr>
      </w:pPr>
    </w:p>
    <w:p>
      <w:pPr>
        <w:ind w:left="900"/>
        <w:spacing w:after="0"/>
        <w:tabs>
          <w:tab w:leader="none" w:pos="160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3"/>
          <w:szCs w:val="13"/>
          <w:u w:val="single" w:color="auto"/>
          <w:color w:val="auto"/>
        </w:rPr>
        <w:t>Officer’s Certificates</w:t>
      </w:r>
      <w:r>
        <w:rPr>
          <w:rFonts w:ascii="Times New Roman" w:cs="Times New Roman" w:eastAsia="Times New Roman" w:hAnsi="Times New Roman"/>
          <w:sz w:val="13"/>
          <w:szCs w:val="13"/>
          <w:color w:val="auto"/>
        </w:rPr>
        <w:t>. Administrative Agent shall have received officer’s certificates and resolutions authorizing this Tenth Amendment; and</w:t>
      </w:r>
    </w:p>
    <w:p>
      <w:pPr>
        <w:spacing w:after="0" w:line="156" w:lineRule="exact"/>
        <w:rPr>
          <w:sz w:val="20"/>
          <w:szCs w:val="20"/>
          <w:color w:val="auto"/>
        </w:rPr>
      </w:pPr>
    </w:p>
    <w:p>
      <w:pPr>
        <w:jc w:val="both"/>
        <w:ind w:left="460" w:firstLine="447"/>
        <w:spacing w:after="0" w:line="243" w:lineRule="auto"/>
        <w:rPr>
          <w:sz w:val="20"/>
          <w:szCs w:val="20"/>
          <w:color w:val="auto"/>
        </w:rPr>
      </w:pPr>
      <w:r>
        <w:rPr>
          <w:rFonts w:ascii="Times New Roman" w:cs="Times New Roman" w:eastAsia="Times New Roman" w:hAnsi="Times New Roman"/>
          <w:sz w:val="14"/>
          <w:szCs w:val="14"/>
          <w:color w:val="auto"/>
        </w:rPr>
        <w:t xml:space="preserve">4.3. </w:t>
      </w:r>
      <w:r>
        <w:rPr>
          <w:rFonts w:ascii="Times New Roman" w:cs="Times New Roman" w:eastAsia="Times New Roman" w:hAnsi="Times New Roman"/>
          <w:sz w:val="14"/>
          <w:szCs w:val="14"/>
          <w:u w:val="single" w:color="auto"/>
          <w:color w:val="auto"/>
        </w:rPr>
        <w:t>Due Diligence</w:t>
      </w:r>
      <w:r>
        <w:rPr>
          <w:rFonts w:ascii="Times New Roman" w:cs="Times New Roman" w:eastAsia="Times New Roman" w:hAnsi="Times New Roman"/>
          <w:sz w:val="14"/>
          <w:szCs w:val="14"/>
          <w:color w:val="auto"/>
        </w:rPr>
        <w:t xml:space="preserve">. Administrative Agent and Lenders have received and are reasonably satisfied with all reports, inspections, and examinations required by Administrative Agent and Lenders,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Lenders shall not require updated certified articles of organization, so long as the Officer’s Certificates described above include a certification that there have been no changes to the articles of organization since the closing of the Ninth Amendment.</w:t>
      </w:r>
    </w:p>
    <w:p>
      <w:pPr>
        <w:spacing w:after="0" w:line="299" w:lineRule="exact"/>
        <w:rPr>
          <w:sz w:val="20"/>
          <w:szCs w:val="20"/>
          <w:color w:val="auto"/>
        </w:rPr>
      </w:pPr>
    </w:p>
    <w:p>
      <w:pPr>
        <w:ind w:left="1140" w:hanging="703"/>
        <w:spacing w:after="0"/>
        <w:tabs>
          <w:tab w:leader="none" w:pos="114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Reaffirmation and Ratification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Borrower and each Guarantor hereby reaffirms, ratifies and confirms its Obligations under the Credit Agreement</w:t>
      </w:r>
    </w:p>
    <w:p>
      <w:pPr>
        <w:spacing w:after="0" w:line="2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(to the extent it is a party) and all other Loan Documents and acknowledges that all of the terms and conditions of the Credit Agreement and all other Loan Documents, except as otherwise provided herein or therein, remain in full force and effect. The Borrower and each Guarantor further acknowledges and agrees that the liens, security interests, pledges, and assignments created by the Credit Agreement and Loan Documents are valid, effective, properly perfected, and enforceable liens, security interests, pledges, and assignments, and hereby reaffirms the grant of all liens, security interests, pledges, and assignments which each has previously granted to the Administrative Agent and Lenders.</w:t>
      </w:r>
    </w:p>
    <w:p>
      <w:pPr>
        <w:spacing w:after="0" w:line="128" w:lineRule="exact"/>
        <w:rPr>
          <w:sz w:val="20"/>
          <w:szCs w:val="20"/>
          <w:color w:val="auto"/>
        </w:rPr>
      </w:pPr>
    </w:p>
    <w:p>
      <w:pPr>
        <w:jc w:val="both"/>
        <w:ind w:firstLine="447"/>
        <w:spacing w:after="0" w:line="245" w:lineRule="auto"/>
        <w:rPr>
          <w:sz w:val="20"/>
          <w:szCs w:val="20"/>
          <w:color w:val="auto"/>
        </w:rPr>
      </w:pPr>
      <w:r>
        <w:rPr>
          <w:rFonts w:ascii="Times New Roman" w:cs="Times New Roman" w:eastAsia="Times New Roman" w:hAnsi="Times New Roman"/>
          <w:sz w:val="14"/>
          <w:szCs w:val="14"/>
          <w:color w:val="auto"/>
        </w:rPr>
        <w:t xml:space="preserve">6. </w:t>
      </w:r>
      <w:r>
        <w:rPr>
          <w:rFonts w:ascii="Times New Roman" w:cs="Times New Roman" w:eastAsia="Times New Roman" w:hAnsi="Times New Roman"/>
          <w:sz w:val="14"/>
          <w:szCs w:val="14"/>
          <w:b w:val="1"/>
          <w:bCs w:val="1"/>
          <w:u w:val="single" w:color="auto"/>
          <w:color w:val="auto"/>
        </w:rPr>
        <w:t>Acknowledgements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The Loan Parties acknowledge and agree that as of the effective date of this Tenth Amendment: (i) the Indebtedness is just, due, and owing, without any right of any Loan Party to setoff, recoup, or counterclaim; (ii) the Administrative Agent and Lenders have fully performed all of their obligations under the Credit Agreement and Loan Documents and are not in default under any terms, provisions, or conditions</w:t>
      </w:r>
    </w:p>
    <w:p>
      <w:pPr>
        <w:spacing w:after="0"/>
        <w:rPr>
          <w:sz w:val="20"/>
          <w:szCs w:val="20"/>
          <w:color w:val="auto"/>
        </w:rPr>
      </w:pPr>
      <w:r>
        <w:rPr>
          <w:rFonts w:ascii="Times New Roman" w:cs="Times New Roman" w:eastAsia="Times New Roman" w:hAnsi="Times New Roman"/>
          <w:sz w:val="14"/>
          <w:szCs w:val="14"/>
          <w:color w:val="auto"/>
        </w:rPr>
        <w:t>of the Credit Agreement or the Loan Documents, and in addition, no circumstances exist under which Administrative Agent and Lenders may be deemed in default merely upon service of notice or passage of time or both; and (iii) the Loan Parties have no defenses to the Indebtedness, the Credit Agreement, or the Loan Documents.</w:t>
      </w:r>
    </w:p>
    <w:p>
      <w:pPr>
        <w:spacing w:after="0" w:line="284" w:lineRule="exact"/>
        <w:rPr>
          <w:sz w:val="20"/>
          <w:szCs w:val="20"/>
          <w:color w:val="auto"/>
        </w:rPr>
      </w:pPr>
    </w:p>
    <w:p>
      <w:pPr>
        <w:jc w:val="both"/>
        <w:ind w:firstLine="437"/>
        <w:spacing w:after="0" w:line="245" w:lineRule="auto"/>
        <w:tabs>
          <w:tab w:leader="none" w:pos="116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Representations and Warranties</w:t>
      </w:r>
      <w:r>
        <w:rPr>
          <w:rFonts w:ascii="Times New Roman" w:cs="Times New Roman" w:eastAsia="Times New Roman" w:hAnsi="Times New Roman"/>
          <w:sz w:val="14"/>
          <w:szCs w:val="14"/>
          <w:color w:val="auto"/>
        </w:rPr>
        <w:t>. Each of the Loan Parties hereby confirms that all representations and warranties of the Loan Parties contained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Article V of the Credit Agreement (to the extent it is a party to the Credit Agreement or in the case of Reading International, Inc., all of the representations and warranties in its Continuing and Unconditional Guaranty dated March 27, 2024), as applicable, continue to be true and correct in all material respects after giving effect to this Tenth Amendment, except: (i) for representations and warranties which are qualified by the inclusion of 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193675</wp:posOffset>
            </wp:positionV>
            <wp:extent cx="636016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60160" cy="43180"/>
                    </a:xfrm>
                    <a:prstGeom prst="rect">
                      <a:avLst/>
                    </a:prstGeom>
                    <a:noFill/>
                  </pic:spPr>
                </pic:pic>
              </a:graphicData>
            </a:graphic>
          </wp:anchor>
        </w:drawing>
      </w:r>
    </w:p>
    <w:p>
      <w:pPr>
        <w:sectPr>
          <w:pgSz w:w="11900" w:h="16838" w:orient="portrait"/>
          <w:cols w:equalWidth="0" w:num="1">
            <w:col w:w="9520"/>
          </w:cols>
          <w:pgMar w:left="1180" w:top="162" w:right="1199" w:bottom="1440" w:gutter="0" w:footer="0" w:header="0"/>
        </w:sectPr>
      </w:pPr>
    </w:p>
    <w:bookmarkStart w:id="59" w:name="page60"/>
    <w:bookmarkEnd w:id="59"/>
    <w:p>
      <w:pPr>
        <w:jc w:val="both"/>
        <w:spacing w:after="0" w:line="243" w:lineRule="auto"/>
        <w:rPr>
          <w:sz w:val="20"/>
          <w:szCs w:val="20"/>
          <w:color w:val="auto"/>
        </w:rPr>
      </w:pPr>
      <w:r>
        <w:rPr>
          <w:rFonts w:ascii="Times New Roman" w:cs="Times New Roman" w:eastAsia="Times New Roman" w:hAnsi="Times New Roman"/>
          <w:sz w:val="14"/>
          <w:szCs w:val="14"/>
          <w:color w:val="auto"/>
        </w:rPr>
        <w:t xml:space="preserve">materiality standard, which representations and warranties shall be true and correct in all respects; and (ii) to the extent that such representations and warranties specifically refer to an earlier date, in which case they shall be true and correct in all material respects as of such earlier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in each case, that any representation or warranty which is qualified by reference to Material Adverse Effect shall exclude events, circumstances, occurrences or conditions arising from the COVID-19 pandemic.</w:t>
      </w:r>
    </w:p>
    <w:p>
      <w:pPr>
        <w:spacing w:after="0" w:line="126" w:lineRule="exact"/>
        <w:rPr>
          <w:sz w:val="20"/>
          <w:szCs w:val="20"/>
          <w:color w:val="auto"/>
        </w:rPr>
      </w:pPr>
    </w:p>
    <w:p>
      <w:pPr>
        <w:ind w:left="1160" w:hanging="704"/>
        <w:spacing w:after="0"/>
        <w:tabs>
          <w:tab w:leader="none" w:pos="116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Events of Default</w:t>
      </w:r>
      <w:r>
        <w:rPr>
          <w:rFonts w:ascii="Times New Roman" w:cs="Times New Roman" w:eastAsia="Times New Roman" w:hAnsi="Times New Roman"/>
          <w:sz w:val="13"/>
          <w:szCs w:val="13"/>
          <w:color w:val="auto"/>
        </w:rPr>
        <w:t>. After giving effect to this Tenth Amendment, no Default nor any Event of Default has occurred and is continuing under the Credit</w:t>
      </w:r>
    </w:p>
    <w:p>
      <w:pPr>
        <w:spacing w:after="0" w:line="26"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Agreement.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9.</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Integration</w:t>
            </w:r>
            <w:r>
              <w:rPr>
                <w:rFonts w:ascii="Times New Roman" w:cs="Times New Roman" w:eastAsia="Times New Roman" w:hAnsi="Times New Roman"/>
                <w:sz w:val="14"/>
                <w:szCs w:val="14"/>
                <w:color w:val="auto"/>
              </w:rPr>
              <w:t>.</w:t>
            </w: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This</w:t>
            </w: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Tenth</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Amendment</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constitutes</w:t>
            </w:r>
          </w:p>
        </w:tc>
        <w:tc>
          <w:tcPr>
            <w:tcW w:w="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w:t>
            </w:r>
          </w:p>
        </w:tc>
        <w:tc>
          <w:tcPr>
            <w:tcW w:w="2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entire</w:t>
            </w: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agreement</w:t>
            </w:r>
          </w:p>
        </w:tc>
        <w:tc>
          <w:tcPr>
            <w:tcW w:w="4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of</w:t>
            </w:r>
          </w:p>
        </w:tc>
        <w:tc>
          <w:tcPr>
            <w:tcW w:w="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w:t>
            </w:r>
          </w:p>
        </w:tc>
        <w:tc>
          <w:tcPr>
            <w:tcW w:w="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parties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w:t>
            </w:r>
          </w:p>
        </w:tc>
        <w:tc>
          <w:tcPr>
            <w:tcW w:w="0" w:type="dxa"/>
            <w:vAlign w:val="bottom"/>
          </w:tcPr>
          <w:p>
            <w:pPr>
              <w:spacing w:after="0"/>
              <w:rPr>
                <w:sz w:val="1"/>
                <w:szCs w:val="1"/>
                <w:color w:val="auto"/>
              </w:rPr>
            </w:pPr>
          </w:p>
        </w:tc>
      </w:tr>
      <w:tr>
        <w:trPr>
          <w:trHeight w:val="20"/>
        </w:trPr>
        <w:tc>
          <w:tcPr>
            <w:tcW w:w="74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color w:val="auto"/>
                <w:w w:val="94"/>
              </w:rPr>
              <w:t>connection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with</w:t>
            </w: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matter</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hereof</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and</w:t>
            </w: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cannot</w:t>
            </w:r>
          </w:p>
        </w:tc>
        <w:tc>
          <w:tcPr>
            <w:tcW w:w="4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be</w:t>
            </w: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changed</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or</w:t>
            </w:r>
          </w:p>
        </w:tc>
        <w:tc>
          <w:tcPr>
            <w:tcW w:w="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terminated</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orally.</w:t>
            </w:r>
          </w:p>
        </w:tc>
        <w:tc>
          <w:tcPr>
            <w:tcW w:w="4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All</w:t>
            </w: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prior</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agreements,</w:t>
            </w:r>
          </w:p>
        </w:tc>
        <w:tc>
          <w:tcPr>
            <w:tcW w:w="0" w:type="dxa"/>
            <w:vAlign w:val="bottom"/>
          </w:tcPr>
          <w:p>
            <w:pPr>
              <w:spacing w:after="0" w:line="20" w:lineRule="exact"/>
              <w:rPr>
                <w:sz w:val="1"/>
                <w:szCs w:val="1"/>
                <w:color w:val="auto"/>
              </w:rPr>
            </w:pPr>
          </w:p>
        </w:tc>
      </w:tr>
      <w:tr>
        <w:trPr>
          <w:trHeight w:val="152"/>
        </w:trPr>
        <w:tc>
          <w:tcPr>
            <w:tcW w:w="7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440" w:type="dxa"/>
            <w:vAlign w:val="bottom"/>
            <w:gridSpan w:val="2"/>
          </w:tcPr>
          <w:p>
            <w:pPr>
              <w:ind w:left="140"/>
              <w:spacing w:after="0" w:line="152" w:lineRule="exact"/>
              <w:rPr>
                <w:sz w:val="20"/>
                <w:szCs w:val="20"/>
                <w:color w:val="auto"/>
              </w:rPr>
            </w:pPr>
            <w:r>
              <w:rPr>
                <w:rFonts w:ascii="Times New Roman" w:cs="Times New Roman" w:eastAsia="Times New Roman" w:hAnsi="Times New Roman"/>
                <w:sz w:val="14"/>
                <w:szCs w:val="14"/>
                <w:color w:val="auto"/>
              </w:rPr>
              <w:t>the</w:t>
            </w:r>
          </w:p>
        </w:tc>
        <w:tc>
          <w:tcPr>
            <w:tcW w:w="660" w:type="dxa"/>
            <w:vAlign w:val="bottom"/>
            <w:gridSpan w:val="2"/>
          </w:tcPr>
          <w:p>
            <w:pPr>
              <w:ind w:left="140"/>
              <w:spacing w:after="0" w:line="152" w:lineRule="exact"/>
              <w:rPr>
                <w:sz w:val="20"/>
                <w:szCs w:val="20"/>
                <w:color w:val="auto"/>
              </w:rPr>
            </w:pPr>
            <w:r>
              <w:rPr>
                <w:rFonts w:ascii="Times New Roman" w:cs="Times New Roman" w:eastAsia="Times New Roman" w:hAnsi="Times New Roman"/>
                <w:sz w:val="14"/>
                <w:szCs w:val="14"/>
                <w:color w:val="auto"/>
              </w:rPr>
              <w:t>subject</w:t>
            </w:r>
          </w:p>
        </w:tc>
        <w:tc>
          <w:tcPr>
            <w:tcW w:w="6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120" w:type="dxa"/>
            <w:vAlign w:val="bottom"/>
            <w:gridSpan w:val="18"/>
          </w:tcPr>
          <w:p>
            <w:pPr>
              <w:jc w:val="right"/>
              <w:ind w:right="192"/>
              <w:spacing w:after="0"/>
              <w:rPr>
                <w:sz w:val="20"/>
                <w:szCs w:val="20"/>
                <w:color w:val="auto"/>
              </w:rPr>
            </w:pPr>
            <w:r>
              <w:rPr>
                <w:rFonts w:ascii="Times New Roman" w:cs="Times New Roman" w:eastAsia="Times New Roman" w:hAnsi="Times New Roman"/>
                <w:sz w:val="14"/>
                <w:szCs w:val="14"/>
                <w:color w:val="auto"/>
                <w:w w:val="97"/>
              </w:rPr>
              <w:t>understandings, representations, warranties and negotiations regarding the subject matter hereof, if any, are merged into this Tenth Amendment.</w:t>
            </w: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firstLine="456"/>
        <w:spacing w:after="0" w:line="263" w:lineRule="auto"/>
        <w:tabs>
          <w:tab w:leader="none" w:pos="1161"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Counterparts</w:t>
      </w:r>
      <w:r>
        <w:rPr>
          <w:rFonts w:ascii="Times New Roman" w:cs="Times New Roman" w:eastAsia="Times New Roman" w:hAnsi="Times New Roman"/>
          <w:sz w:val="14"/>
          <w:szCs w:val="14"/>
          <w:color w:val="auto"/>
        </w:rPr>
        <w:t>. This Tenth Amendment may be executed in multiple counterparts, each of which when so executed and delivered shall be deemed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original, and all of which, taken together, shall constitute but one and the same agreement.</w:t>
      </w:r>
    </w:p>
    <w:p>
      <w:pPr>
        <w:spacing w:after="0" w:line="113" w:lineRule="exact"/>
        <w:rPr>
          <w:sz w:val="20"/>
          <w:szCs w:val="20"/>
          <w:color w:val="auto"/>
        </w:rPr>
      </w:pPr>
    </w:p>
    <w:p>
      <w:pPr>
        <w:ind w:left="460"/>
        <w:spacing w:after="0"/>
        <w:tabs>
          <w:tab w:leader="none" w:pos="1480" w:val="left"/>
          <w:tab w:leader="none" w:pos="2440" w:val="left"/>
          <w:tab w:leader="none" w:pos="3080" w:val="left"/>
          <w:tab w:leader="none" w:pos="3680" w:val="left"/>
          <w:tab w:leader="none" w:pos="4360" w:val="left"/>
          <w:tab w:leader="none" w:pos="5380" w:val="left"/>
          <w:tab w:leader="none" w:pos="6000" w:val="left"/>
          <w:tab w:leader="none" w:pos="6480" w:val="left"/>
          <w:tab w:leader="none" w:pos="7340" w:val="left"/>
          <w:tab w:leader="none" w:pos="7860" w:val="left"/>
          <w:tab w:leader="none" w:pos="8420" w:val="left"/>
          <w:tab w:leader="none" w:pos="930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4"/>
          <w:szCs w:val="14"/>
          <w:b w:val="1"/>
          <w:bCs w:val="1"/>
          <w:color w:val="auto"/>
        </w:rPr>
        <w:t>Governing</w:t>
      </w:r>
      <w:r>
        <w:rPr>
          <w:sz w:val="20"/>
          <w:szCs w:val="20"/>
          <w:color w:val="auto"/>
        </w:rPr>
        <w:tab/>
      </w:r>
      <w:r>
        <w:rPr>
          <w:rFonts w:ascii="Times New Roman" w:cs="Times New Roman" w:eastAsia="Times New Roman" w:hAnsi="Times New Roman"/>
          <w:sz w:val="14"/>
          <w:szCs w:val="14"/>
          <w:b w:val="1"/>
          <w:bCs w:val="1"/>
          <w:color w:val="auto"/>
        </w:rPr>
        <w:t>Law</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This</w:t>
      </w:r>
      <w:r>
        <w:rPr>
          <w:sz w:val="20"/>
          <w:szCs w:val="20"/>
          <w:color w:val="auto"/>
        </w:rPr>
        <w:tab/>
      </w:r>
      <w:r>
        <w:rPr>
          <w:rFonts w:ascii="Times New Roman" w:cs="Times New Roman" w:eastAsia="Times New Roman" w:hAnsi="Times New Roman"/>
          <w:sz w:val="14"/>
          <w:szCs w:val="14"/>
          <w:color w:val="auto"/>
        </w:rPr>
        <w:t>Tenth</w:t>
      </w:r>
      <w:r>
        <w:rPr>
          <w:sz w:val="20"/>
          <w:szCs w:val="20"/>
          <w:color w:val="auto"/>
        </w:rPr>
        <w:tab/>
      </w:r>
      <w:r>
        <w:rPr>
          <w:rFonts w:ascii="Times New Roman" w:cs="Times New Roman" w:eastAsia="Times New Roman" w:hAnsi="Times New Roman"/>
          <w:sz w:val="14"/>
          <w:szCs w:val="14"/>
          <w:color w:val="auto"/>
        </w:rPr>
        <w:t>Amendment</w:t>
      </w:r>
      <w:r>
        <w:rPr>
          <w:sz w:val="20"/>
          <w:szCs w:val="20"/>
          <w:color w:val="auto"/>
        </w:rPr>
        <w:tab/>
      </w:r>
      <w:r>
        <w:rPr>
          <w:rFonts w:ascii="Times New Roman" w:cs="Times New Roman" w:eastAsia="Times New Roman" w:hAnsi="Times New Roman"/>
          <w:sz w:val="14"/>
          <w:szCs w:val="14"/>
          <w:color w:val="auto"/>
        </w:rPr>
        <w:t>shall</w:t>
      </w:r>
      <w:r>
        <w:rPr>
          <w:sz w:val="20"/>
          <w:szCs w:val="20"/>
          <w:color w:val="auto"/>
        </w:rPr>
        <w:tab/>
      </w:r>
      <w:r>
        <w:rPr>
          <w:rFonts w:ascii="Times New Roman" w:cs="Times New Roman" w:eastAsia="Times New Roman" w:hAnsi="Times New Roman"/>
          <w:sz w:val="14"/>
          <w:szCs w:val="14"/>
          <w:color w:val="auto"/>
        </w:rPr>
        <w:t>be</w:t>
      </w:r>
      <w:r>
        <w:rPr>
          <w:sz w:val="20"/>
          <w:szCs w:val="20"/>
          <w:color w:val="auto"/>
        </w:rPr>
        <w:tab/>
      </w:r>
      <w:r>
        <w:rPr>
          <w:rFonts w:ascii="Times New Roman" w:cs="Times New Roman" w:eastAsia="Times New Roman" w:hAnsi="Times New Roman"/>
          <w:sz w:val="14"/>
          <w:szCs w:val="14"/>
          <w:color w:val="auto"/>
        </w:rPr>
        <w:t>governed</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and</w:t>
      </w:r>
      <w:r>
        <w:rPr>
          <w:sz w:val="20"/>
          <w:szCs w:val="20"/>
          <w:color w:val="auto"/>
        </w:rPr>
        <w:tab/>
      </w:r>
      <w:r>
        <w:rPr>
          <w:rFonts w:ascii="Times New Roman" w:cs="Times New Roman" w:eastAsia="Times New Roman" w:hAnsi="Times New Roman"/>
          <w:sz w:val="14"/>
          <w:szCs w:val="14"/>
          <w:color w:val="auto"/>
        </w:rPr>
        <w:t>construed</w:t>
      </w:r>
      <w:r>
        <w:rPr>
          <w:sz w:val="20"/>
          <w:szCs w:val="20"/>
          <w:color w:val="auto"/>
        </w:rPr>
        <w:tab/>
      </w:r>
      <w:r>
        <w:rPr>
          <w:rFonts w:ascii="Times New Roman" w:cs="Times New Roman" w:eastAsia="Times New Roman" w:hAnsi="Times New Roman"/>
          <w:sz w:val="13"/>
          <w:szCs w:val="13"/>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-6985</wp:posOffset>
            </wp:positionV>
            <wp:extent cx="78168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8168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enforced in accordance with, the internal laws (as opposed to the conflicts of law principles) of the State of New York.</w:t>
      </w:r>
    </w:p>
    <w:p>
      <w:pPr>
        <w:spacing w:after="0" w:line="1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i w:val="1"/>
          <w:iCs w:val="1"/>
          <w:color w:val="auto"/>
        </w:rPr>
        <w:t>[Rest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193675</wp:posOffset>
            </wp:positionV>
            <wp:extent cx="636016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60160" cy="43180"/>
                    </a:xfrm>
                    <a:prstGeom prst="rect">
                      <a:avLst/>
                    </a:prstGeom>
                    <a:noFill/>
                  </pic:spPr>
                </pic:pic>
              </a:graphicData>
            </a:graphic>
          </wp:anchor>
        </w:drawing>
      </w:r>
    </w:p>
    <w:p>
      <w:pPr>
        <w:sectPr>
          <w:pgSz w:w="11900" w:h="16838" w:orient="portrait"/>
          <w:cols w:equalWidth="0" w:num="1">
            <w:col w:w="9520"/>
          </w:cols>
          <w:pgMar w:left="1180" w:top="172" w:right="1199" w:bottom="1440" w:gutter="0" w:footer="0" w:header="0"/>
        </w:sectPr>
      </w:pPr>
    </w:p>
    <w:bookmarkStart w:id="60" w:name="page61"/>
    <w:bookmarkEnd w:id="60"/>
    <w:p>
      <w:pPr>
        <w:ind w:left="200"/>
        <w:spacing w:after="0"/>
        <w:rPr>
          <w:sz w:val="20"/>
          <w:szCs w:val="20"/>
          <w:color w:val="auto"/>
        </w:rPr>
      </w:pPr>
      <w:r>
        <w:rPr>
          <w:rFonts w:ascii="Times New Roman" w:cs="Times New Roman" w:eastAsia="Times New Roman" w:hAnsi="Times New Roman"/>
          <w:sz w:val="13"/>
          <w:szCs w:val="13"/>
          <w:i w:val="1"/>
          <w:iCs w:val="1"/>
          <w:color w:val="auto"/>
        </w:rPr>
        <w:t>IN WITNESS WHEREOF</w:t>
      </w:r>
      <w:r>
        <w:rPr>
          <w:rFonts w:ascii="Times New Roman" w:cs="Times New Roman" w:eastAsia="Times New Roman" w:hAnsi="Times New Roman"/>
          <w:sz w:val="13"/>
          <w:szCs w:val="13"/>
          <w:color w:val="auto"/>
        </w:rPr>
        <w:t>, the parties hereto have executed this Tenth Amendment by their respective duly authorized officers as of the date first above written.</w:t>
      </w:r>
    </w:p>
    <w:p>
      <w:pPr>
        <w:spacing w:after="0" w:line="200" w:lineRule="exact"/>
        <w:rPr>
          <w:sz w:val="20"/>
          <w:szCs w:val="20"/>
          <w:color w:val="auto"/>
        </w:rPr>
      </w:pPr>
    </w:p>
    <w:p>
      <w:pPr>
        <w:spacing w:after="0" w:line="28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u w:val="single" w:color="auto"/>
          <w:color w:val="auto"/>
        </w:rPr>
        <w:t>BORROWER</w:t>
      </w:r>
    </w:p>
    <w:p>
      <w:pPr>
        <w:spacing w:after="0" w:line="1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CONSOLIDATED AMUSEMENT HOLDINGS,</w:t>
      </w:r>
    </w:p>
    <w:p>
      <w:pPr>
        <w:ind w:left="4160"/>
        <w:spacing w:after="0"/>
        <w:rPr>
          <w:sz w:val="20"/>
          <w:szCs w:val="20"/>
          <w:color w:val="auto"/>
        </w:rPr>
      </w:pPr>
      <w:r>
        <w:rPr>
          <w:rFonts w:ascii="Times New Roman" w:cs="Times New Roman" w:eastAsia="Times New Roman" w:hAnsi="Times New Roman"/>
          <w:sz w:val="14"/>
          <w:szCs w:val="14"/>
          <w:b w:val="1"/>
          <w:bCs w:val="1"/>
          <w:color w:val="auto"/>
        </w:rPr>
        <w:t>LLC</w:t>
      </w:r>
      <w:r>
        <w:rPr>
          <w:rFonts w:ascii="Times New Roman" w:cs="Times New Roman" w:eastAsia="Times New Roman" w:hAnsi="Times New Roman"/>
          <w:sz w:val="14"/>
          <w:szCs w:val="14"/>
          <w:color w:val="auto"/>
        </w:rPr>
        <w:t>, a Nevada limited liability Company</w:t>
      </w:r>
    </w:p>
    <w:p>
      <w:pPr>
        <w:spacing w:after="0" w:line="300" w:lineRule="exact"/>
        <w:rPr>
          <w:sz w:val="20"/>
          <w:szCs w:val="20"/>
          <w:color w:val="auto"/>
        </w:rPr>
      </w:pPr>
    </w:p>
    <w:p>
      <w:pPr>
        <w:ind w:left="4160"/>
        <w:spacing w:after="0"/>
        <w:tabs>
          <w:tab w:leader="none" w:pos="4480" w:val="left"/>
        </w:tabs>
        <w:rPr>
          <w:sz w:val="20"/>
          <w:szCs w:val="20"/>
          <w:color w:val="auto"/>
        </w:rPr>
      </w:pPr>
      <w:r>
        <w:rPr>
          <w:rFonts w:ascii="Times New Roman" w:cs="Times New Roman" w:eastAsia="Times New Roman" w:hAnsi="Times New Roman"/>
          <w:sz w:val="14"/>
          <w:szCs w:val="14"/>
          <w:color w:val="auto"/>
        </w:rPr>
        <w:t>By:</w:t>
        <w:tab/>
        <w:t>/s/ Gilbert Avanes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7620</wp:posOffset>
            </wp:positionV>
            <wp:extent cx="315849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58490"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4"/>
          <w:szCs w:val="14"/>
          <w:color w:val="auto"/>
        </w:rPr>
        <w:t>Gilbert Avanes</w:t>
      </w:r>
    </w:p>
    <w:p>
      <w:pPr>
        <w:spacing w:after="0" w:line="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376555</wp:posOffset>
            </wp:positionV>
            <wp:extent cx="636016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60160" cy="43180"/>
                    </a:xfrm>
                    <a:prstGeom prst="rect">
                      <a:avLst/>
                    </a:prstGeom>
                    <a:noFill/>
                  </pic:spPr>
                </pic:pic>
              </a:graphicData>
            </a:graphic>
          </wp:anchor>
        </w:drawing>
      </w:r>
    </w:p>
    <w:p>
      <w:pPr>
        <w:sectPr>
          <w:pgSz w:w="11900" w:h="16838" w:orient="portrait"/>
          <w:cols w:equalWidth="0" w:num="1">
            <w:col w:w="9019"/>
          </w:cols>
          <w:pgMar w:left="1440" w:top="168" w:right="1440" w:bottom="1440" w:gutter="0" w:footer="0" w:header="0"/>
        </w:sectPr>
      </w:pPr>
    </w:p>
    <w:bookmarkStart w:id="61" w:name="page62"/>
    <w:bookmarkEnd w:id="61"/>
    <w:p>
      <w:pPr>
        <w:ind w:left="4140"/>
        <w:spacing w:after="0"/>
        <w:rPr>
          <w:sz w:val="20"/>
          <w:szCs w:val="20"/>
          <w:color w:val="auto"/>
        </w:rPr>
      </w:pPr>
      <w:r>
        <w:rPr>
          <w:rFonts w:ascii="Times New Roman" w:cs="Times New Roman" w:eastAsia="Times New Roman" w:hAnsi="Times New Roman"/>
          <w:sz w:val="14"/>
          <w:szCs w:val="14"/>
          <w:b w:val="1"/>
          <w:bCs w:val="1"/>
          <w:u w:val="single" w:color="auto"/>
          <w:color w:val="auto"/>
        </w:rPr>
        <w:t>GUARANTORS:</w:t>
      </w:r>
    </w:p>
    <w:p>
      <w:pPr>
        <w:spacing w:after="0" w:line="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CONSOLIDATED ENTERTAINMENT, LLC</w:t>
      </w:r>
    </w:p>
    <w:p>
      <w:pPr>
        <w:spacing w:after="0" w:line="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a Nevada limited liability Company</w:t>
      </w:r>
    </w:p>
    <w:p>
      <w:pPr>
        <w:spacing w:after="0" w:line="142" w:lineRule="exact"/>
        <w:rPr>
          <w:sz w:val="20"/>
          <w:szCs w:val="20"/>
          <w:color w:val="auto"/>
        </w:rPr>
      </w:pPr>
    </w:p>
    <w:p>
      <w:pPr>
        <w:ind w:left="4140"/>
        <w:spacing w:after="0"/>
        <w:tabs>
          <w:tab w:leader="none" w:pos="4480" w:val="left"/>
        </w:tabs>
        <w:rPr>
          <w:sz w:val="20"/>
          <w:szCs w:val="20"/>
          <w:color w:val="auto"/>
        </w:rPr>
      </w:pPr>
      <w:r>
        <w:rPr>
          <w:rFonts w:ascii="Times New Roman" w:cs="Times New Roman" w:eastAsia="Times New Roman" w:hAnsi="Times New Roman"/>
          <w:sz w:val="14"/>
          <w:szCs w:val="14"/>
          <w:color w:val="auto"/>
        </w:rPr>
        <w:t>By:</w:t>
        <w:tab/>
        <w:t>/s/ Gilbert Avanes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7620</wp:posOffset>
            </wp:positionV>
            <wp:extent cx="317055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70555"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4"/>
          <w:szCs w:val="14"/>
          <w:color w:val="auto"/>
        </w:rPr>
        <w:t>Gilbert Avanes</w:t>
      </w:r>
    </w:p>
    <w:p>
      <w:pPr>
        <w:spacing w:after="0" w:line="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30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ANGELIKA FILM CENTER MOSAIC, LLC,</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a Nevada limited liability Company</w:t>
      </w:r>
    </w:p>
    <w:p>
      <w:pPr>
        <w:spacing w:after="0" w:line="142" w:lineRule="exact"/>
        <w:rPr>
          <w:sz w:val="20"/>
          <w:szCs w:val="20"/>
          <w:color w:val="auto"/>
        </w:rPr>
      </w:pPr>
    </w:p>
    <w:p>
      <w:pPr>
        <w:ind w:left="4140"/>
        <w:spacing w:after="0"/>
        <w:tabs>
          <w:tab w:leader="none" w:pos="4480" w:val="left"/>
        </w:tabs>
        <w:rPr>
          <w:sz w:val="20"/>
          <w:szCs w:val="20"/>
          <w:color w:val="auto"/>
        </w:rPr>
      </w:pPr>
      <w:r>
        <w:rPr>
          <w:rFonts w:ascii="Times New Roman" w:cs="Times New Roman" w:eastAsia="Times New Roman" w:hAnsi="Times New Roman"/>
          <w:sz w:val="14"/>
          <w:szCs w:val="14"/>
          <w:color w:val="auto"/>
        </w:rPr>
        <w:t>By:</w:t>
        <w:tab/>
        <w:t>/s/ Gilbert Avanes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7620</wp:posOffset>
            </wp:positionV>
            <wp:extent cx="317055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70555"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4"/>
          <w:szCs w:val="14"/>
          <w:color w:val="auto"/>
        </w:rPr>
        <w:t>Gilbert Avanes</w:t>
      </w:r>
    </w:p>
    <w:p>
      <w:pPr>
        <w:spacing w:after="0" w:line="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30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ANGELIKA FILM CENTERS LLC,</w:t>
      </w:r>
    </w:p>
    <w:p>
      <w:pPr>
        <w:spacing w:after="0" w:line="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a Delaware limited liability Company</w:t>
      </w:r>
    </w:p>
    <w:p>
      <w:pPr>
        <w:spacing w:after="0" w:line="142" w:lineRule="exact"/>
        <w:rPr>
          <w:sz w:val="20"/>
          <w:szCs w:val="20"/>
          <w:color w:val="auto"/>
        </w:rPr>
      </w:pPr>
    </w:p>
    <w:p>
      <w:pPr>
        <w:ind w:left="4140"/>
        <w:spacing w:after="0"/>
        <w:tabs>
          <w:tab w:leader="none" w:pos="4480" w:val="left"/>
        </w:tabs>
        <w:rPr>
          <w:sz w:val="20"/>
          <w:szCs w:val="20"/>
          <w:color w:val="auto"/>
        </w:rPr>
      </w:pPr>
      <w:r>
        <w:rPr>
          <w:rFonts w:ascii="Times New Roman" w:cs="Times New Roman" w:eastAsia="Times New Roman" w:hAnsi="Times New Roman"/>
          <w:sz w:val="14"/>
          <w:szCs w:val="14"/>
          <w:color w:val="auto"/>
        </w:rPr>
        <w:t>By:</w:t>
        <w:tab/>
        <w:t>/s/ Gilbert Avanes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7620</wp:posOffset>
            </wp:positionV>
            <wp:extent cx="317055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70555"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4"/>
          <w:szCs w:val="14"/>
          <w:color w:val="auto"/>
        </w:rPr>
        <w:t>Gilbert Avanes</w:t>
      </w:r>
    </w:p>
    <w:p>
      <w:pPr>
        <w:spacing w:after="0" w:line="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30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RADING CINEMAS NJ, INC.,</w:t>
      </w:r>
    </w:p>
    <w:p>
      <w:pPr>
        <w:spacing w:after="0" w:line="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a Delaware limited liability Company</w:t>
      </w:r>
    </w:p>
    <w:p>
      <w:pPr>
        <w:spacing w:after="0" w:line="142" w:lineRule="exact"/>
        <w:rPr>
          <w:sz w:val="20"/>
          <w:szCs w:val="20"/>
          <w:color w:val="auto"/>
        </w:rPr>
      </w:pPr>
    </w:p>
    <w:p>
      <w:pPr>
        <w:ind w:left="4140"/>
        <w:spacing w:after="0"/>
        <w:tabs>
          <w:tab w:leader="none" w:pos="4480" w:val="left"/>
        </w:tabs>
        <w:rPr>
          <w:sz w:val="20"/>
          <w:szCs w:val="20"/>
          <w:color w:val="auto"/>
        </w:rPr>
      </w:pPr>
      <w:r>
        <w:rPr>
          <w:rFonts w:ascii="Times New Roman" w:cs="Times New Roman" w:eastAsia="Times New Roman" w:hAnsi="Times New Roman"/>
          <w:sz w:val="14"/>
          <w:szCs w:val="14"/>
          <w:color w:val="auto"/>
        </w:rPr>
        <w:t>By:</w:t>
        <w:tab/>
        <w:t>/s/ Gilbert Avanes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7620</wp:posOffset>
            </wp:positionV>
            <wp:extent cx="317055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70555"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4"/>
          <w:szCs w:val="14"/>
          <w:color w:val="auto"/>
        </w:rPr>
        <w:t>Gilbert Avanes</w:t>
      </w:r>
    </w:p>
    <w:p>
      <w:pPr>
        <w:spacing w:after="0" w:line="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00" w:lineRule="exact"/>
        <w:rPr>
          <w:sz w:val="20"/>
          <w:szCs w:val="20"/>
          <w:color w:val="auto"/>
        </w:rPr>
      </w:pPr>
    </w:p>
    <w:p>
      <w:pPr>
        <w:spacing w:after="0" w:line="26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COSOLIDATED CINEMA SERVICES, LLC,</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a Nevada limited liability Company</w:t>
      </w:r>
    </w:p>
    <w:p>
      <w:pPr>
        <w:spacing w:after="0" w:line="142" w:lineRule="exact"/>
        <w:rPr>
          <w:sz w:val="20"/>
          <w:szCs w:val="20"/>
          <w:color w:val="auto"/>
        </w:rPr>
      </w:pPr>
    </w:p>
    <w:p>
      <w:pPr>
        <w:ind w:left="4140"/>
        <w:spacing w:after="0"/>
        <w:tabs>
          <w:tab w:leader="none" w:pos="4480" w:val="left"/>
        </w:tabs>
        <w:rPr>
          <w:sz w:val="20"/>
          <w:szCs w:val="20"/>
          <w:color w:val="auto"/>
        </w:rPr>
      </w:pPr>
      <w:r>
        <w:rPr>
          <w:rFonts w:ascii="Times New Roman" w:cs="Times New Roman" w:eastAsia="Times New Roman" w:hAnsi="Times New Roman"/>
          <w:sz w:val="14"/>
          <w:szCs w:val="14"/>
          <w:color w:val="auto"/>
        </w:rPr>
        <w:t>By:</w:t>
        <w:tab/>
        <w:t>/s/ Gilbert Avanes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7620</wp:posOffset>
            </wp:positionV>
            <wp:extent cx="317055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70555"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4"/>
          <w:szCs w:val="14"/>
          <w:color w:val="auto"/>
        </w:rPr>
        <w:t>Gilbert Avanes</w:t>
      </w:r>
    </w:p>
    <w:p>
      <w:pPr>
        <w:spacing w:after="0" w:line="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180975</wp:posOffset>
            </wp:positionV>
            <wp:extent cx="636016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60160" cy="43180"/>
                    </a:xfrm>
                    <a:prstGeom prst="rect">
                      <a:avLst/>
                    </a:prstGeom>
                    <a:noFill/>
                  </pic:spPr>
                </pic:pic>
              </a:graphicData>
            </a:graphic>
          </wp:anchor>
        </w:drawing>
      </w:r>
    </w:p>
    <w:p>
      <w:pPr>
        <w:sectPr>
          <w:pgSz w:w="11900" w:h="16838" w:orient="portrait"/>
          <w:cols w:equalWidth="0" w:num="1">
            <w:col w:w="9019"/>
          </w:cols>
          <w:pgMar w:left="1440" w:top="289" w:right="1440" w:bottom="1440" w:gutter="0" w:footer="0" w:header="0"/>
        </w:sectPr>
      </w:pPr>
    </w:p>
    <w:bookmarkStart w:id="62" w:name="page63"/>
    <w:bookmarkEnd w:id="62"/>
    <w:p>
      <w:pPr>
        <w:ind w:left="4140"/>
        <w:spacing w:after="0"/>
        <w:rPr>
          <w:sz w:val="20"/>
          <w:szCs w:val="20"/>
          <w:color w:val="auto"/>
        </w:rPr>
      </w:pPr>
      <w:r>
        <w:rPr>
          <w:rFonts w:ascii="Times New Roman" w:cs="Times New Roman" w:eastAsia="Times New Roman" w:hAnsi="Times New Roman"/>
          <w:sz w:val="14"/>
          <w:szCs w:val="14"/>
          <w:b w:val="1"/>
          <w:bCs w:val="1"/>
          <w:color w:val="auto"/>
        </w:rPr>
        <w:t>READING MURRIETA THEATER, LLC,</w:t>
      </w:r>
    </w:p>
    <w:p>
      <w:pPr>
        <w:spacing w:after="0" w:line="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a Nevada limited liability Company</w:t>
      </w:r>
    </w:p>
    <w:p>
      <w:pPr>
        <w:spacing w:after="0" w:line="142" w:lineRule="exact"/>
        <w:rPr>
          <w:sz w:val="20"/>
          <w:szCs w:val="20"/>
          <w:color w:val="auto"/>
        </w:rPr>
      </w:pPr>
    </w:p>
    <w:p>
      <w:pPr>
        <w:ind w:left="4140"/>
        <w:spacing w:after="0"/>
        <w:tabs>
          <w:tab w:leader="none" w:pos="4480" w:val="left"/>
        </w:tabs>
        <w:rPr>
          <w:sz w:val="20"/>
          <w:szCs w:val="20"/>
          <w:color w:val="auto"/>
        </w:rPr>
      </w:pPr>
      <w:r>
        <w:rPr>
          <w:rFonts w:ascii="Times New Roman" w:cs="Times New Roman" w:eastAsia="Times New Roman" w:hAnsi="Times New Roman"/>
          <w:sz w:val="14"/>
          <w:szCs w:val="14"/>
          <w:color w:val="auto"/>
        </w:rPr>
        <w:t>By:</w:t>
        <w:tab/>
        <w:t>/s/ Gilbert Avanes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7620</wp:posOffset>
            </wp:positionV>
            <wp:extent cx="317055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70555"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4"/>
          <w:szCs w:val="14"/>
          <w:color w:val="auto"/>
        </w:rPr>
        <w:t>Gilbert Avanes</w:t>
      </w:r>
    </w:p>
    <w:p>
      <w:pPr>
        <w:spacing w:after="0" w:line="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00" w:lineRule="exact"/>
        <w:rPr>
          <w:sz w:val="20"/>
          <w:szCs w:val="20"/>
          <w:color w:val="auto"/>
        </w:rPr>
      </w:pPr>
    </w:p>
    <w:p>
      <w:pPr>
        <w:spacing w:after="0" w:line="26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KAHALA CINEMA COMPANY, LLC,</w:t>
      </w:r>
    </w:p>
    <w:p>
      <w:pPr>
        <w:spacing w:after="0" w:line="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a Nevada limited liability Company</w:t>
      </w:r>
    </w:p>
    <w:p>
      <w:pPr>
        <w:spacing w:after="0" w:line="142" w:lineRule="exact"/>
        <w:rPr>
          <w:sz w:val="20"/>
          <w:szCs w:val="20"/>
          <w:color w:val="auto"/>
        </w:rPr>
      </w:pPr>
    </w:p>
    <w:p>
      <w:pPr>
        <w:ind w:left="4140"/>
        <w:spacing w:after="0"/>
        <w:tabs>
          <w:tab w:leader="none" w:pos="4480" w:val="left"/>
        </w:tabs>
        <w:rPr>
          <w:sz w:val="20"/>
          <w:szCs w:val="20"/>
          <w:color w:val="auto"/>
        </w:rPr>
      </w:pPr>
      <w:r>
        <w:rPr>
          <w:rFonts w:ascii="Times New Roman" w:cs="Times New Roman" w:eastAsia="Times New Roman" w:hAnsi="Times New Roman"/>
          <w:sz w:val="14"/>
          <w:szCs w:val="14"/>
          <w:color w:val="auto"/>
        </w:rPr>
        <w:t>By:</w:t>
        <w:tab/>
        <w:t>/s/ Gilbert Avanes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7620</wp:posOffset>
            </wp:positionV>
            <wp:extent cx="317055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70555"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4"/>
          <w:szCs w:val="14"/>
          <w:color w:val="auto"/>
        </w:rPr>
        <w:t>Gilbert Avanes</w:t>
      </w:r>
    </w:p>
    <w:p>
      <w:pPr>
        <w:spacing w:after="0" w:line="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00" w:lineRule="exact"/>
        <w:rPr>
          <w:sz w:val="20"/>
          <w:szCs w:val="20"/>
          <w:color w:val="auto"/>
        </w:rPr>
      </w:pPr>
    </w:p>
    <w:p>
      <w:pPr>
        <w:spacing w:after="0" w:line="26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KAAHUMANU CINEMAS, LLC,</w:t>
      </w:r>
    </w:p>
    <w:p>
      <w:pPr>
        <w:spacing w:after="0" w:line="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a Nevada lmited liability company</w:t>
      </w:r>
    </w:p>
    <w:p>
      <w:pPr>
        <w:spacing w:after="0" w:line="142" w:lineRule="exact"/>
        <w:rPr>
          <w:sz w:val="20"/>
          <w:szCs w:val="20"/>
          <w:color w:val="auto"/>
        </w:rPr>
      </w:pPr>
    </w:p>
    <w:p>
      <w:pPr>
        <w:ind w:left="4140"/>
        <w:spacing w:after="0"/>
        <w:tabs>
          <w:tab w:leader="none" w:pos="4480" w:val="left"/>
        </w:tabs>
        <w:rPr>
          <w:sz w:val="20"/>
          <w:szCs w:val="20"/>
          <w:color w:val="auto"/>
        </w:rPr>
      </w:pPr>
      <w:r>
        <w:rPr>
          <w:rFonts w:ascii="Times New Roman" w:cs="Times New Roman" w:eastAsia="Times New Roman" w:hAnsi="Times New Roman"/>
          <w:sz w:val="14"/>
          <w:szCs w:val="14"/>
          <w:color w:val="auto"/>
        </w:rPr>
        <w:t>By:</w:t>
        <w:tab/>
        <w:t>/s/ Gilbert Avanes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7620</wp:posOffset>
            </wp:positionV>
            <wp:extent cx="317055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70555"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4"/>
          <w:szCs w:val="14"/>
          <w:color w:val="auto"/>
        </w:rPr>
        <w:t>Gilbert Avanes</w:t>
      </w:r>
    </w:p>
    <w:p>
      <w:pPr>
        <w:spacing w:after="0" w:line="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00" w:lineRule="exact"/>
        <w:rPr>
          <w:sz w:val="20"/>
          <w:szCs w:val="20"/>
          <w:color w:val="auto"/>
        </w:rPr>
      </w:pPr>
    </w:p>
    <w:p>
      <w:pPr>
        <w:spacing w:after="0" w:line="26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READING CONSOLIDATED HOLDINGS, INC.,</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a Nevada corporation</w:t>
      </w:r>
    </w:p>
    <w:p>
      <w:pPr>
        <w:spacing w:after="0" w:line="142" w:lineRule="exact"/>
        <w:rPr>
          <w:sz w:val="20"/>
          <w:szCs w:val="20"/>
          <w:color w:val="auto"/>
        </w:rPr>
      </w:pPr>
    </w:p>
    <w:p>
      <w:pPr>
        <w:ind w:left="4140"/>
        <w:spacing w:after="0"/>
        <w:tabs>
          <w:tab w:leader="none" w:pos="4480" w:val="left"/>
        </w:tabs>
        <w:rPr>
          <w:sz w:val="20"/>
          <w:szCs w:val="20"/>
          <w:color w:val="auto"/>
        </w:rPr>
      </w:pPr>
      <w:r>
        <w:rPr>
          <w:rFonts w:ascii="Times New Roman" w:cs="Times New Roman" w:eastAsia="Times New Roman" w:hAnsi="Times New Roman"/>
          <w:sz w:val="14"/>
          <w:szCs w:val="14"/>
          <w:color w:val="auto"/>
        </w:rPr>
        <w:t>By:</w:t>
        <w:tab/>
        <w:t>/s/ Gilbert Avanes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7620</wp:posOffset>
            </wp:positionV>
            <wp:extent cx="317055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70555"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4"/>
          <w:szCs w:val="14"/>
          <w:color w:val="auto"/>
        </w:rPr>
        <w:t>Gilbert Avanes</w:t>
      </w:r>
    </w:p>
    <w:p>
      <w:pPr>
        <w:spacing w:after="0" w:line="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180975</wp:posOffset>
            </wp:positionV>
            <wp:extent cx="636016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60160" cy="43180"/>
                    </a:xfrm>
                    <a:prstGeom prst="rect">
                      <a:avLst/>
                    </a:prstGeom>
                    <a:noFill/>
                  </pic:spPr>
                </pic:pic>
              </a:graphicData>
            </a:graphic>
          </wp:anchor>
        </w:drawing>
      </w:r>
    </w:p>
    <w:p>
      <w:pPr>
        <w:sectPr>
          <w:pgSz w:w="11900" w:h="16838" w:orient="portrait"/>
          <w:cols w:equalWidth="0" w:num="1">
            <w:col w:w="9019"/>
          </w:cols>
          <w:pgMar w:left="1440" w:top="289" w:right="1440" w:bottom="1440" w:gutter="0" w:footer="0" w:header="0"/>
        </w:sectPr>
      </w:pPr>
    </w:p>
    <w:bookmarkStart w:id="63" w:name="page64"/>
    <w:bookmarkEnd w:id="63"/>
    <w:p>
      <w:pPr>
        <w:ind w:left="4140"/>
        <w:spacing w:after="0"/>
        <w:rPr>
          <w:sz w:val="20"/>
          <w:szCs w:val="20"/>
          <w:color w:val="auto"/>
        </w:rPr>
      </w:pPr>
      <w:r>
        <w:rPr>
          <w:rFonts w:ascii="Times New Roman" w:cs="Times New Roman" w:eastAsia="Times New Roman" w:hAnsi="Times New Roman"/>
          <w:sz w:val="14"/>
          <w:szCs w:val="14"/>
          <w:b w:val="1"/>
          <w:bCs w:val="1"/>
          <w:color w:val="auto"/>
        </w:rPr>
        <w:t>KMA CINEMAS, LLC,</w:t>
      </w:r>
    </w:p>
    <w:p>
      <w:pPr>
        <w:spacing w:after="0" w:line="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a Nevada limited liability Company</w:t>
      </w:r>
    </w:p>
    <w:p>
      <w:pPr>
        <w:spacing w:after="0" w:line="142" w:lineRule="exact"/>
        <w:rPr>
          <w:sz w:val="20"/>
          <w:szCs w:val="20"/>
          <w:color w:val="auto"/>
        </w:rPr>
      </w:pPr>
    </w:p>
    <w:p>
      <w:pPr>
        <w:ind w:left="4140"/>
        <w:spacing w:after="0"/>
        <w:tabs>
          <w:tab w:leader="none" w:pos="4480" w:val="left"/>
        </w:tabs>
        <w:rPr>
          <w:sz w:val="20"/>
          <w:szCs w:val="20"/>
          <w:color w:val="auto"/>
        </w:rPr>
      </w:pPr>
      <w:r>
        <w:rPr>
          <w:rFonts w:ascii="Times New Roman" w:cs="Times New Roman" w:eastAsia="Times New Roman" w:hAnsi="Times New Roman"/>
          <w:sz w:val="14"/>
          <w:szCs w:val="14"/>
          <w:color w:val="auto"/>
        </w:rPr>
        <w:t>By:</w:t>
        <w:tab/>
        <w:t>/s/ Gilbert Avanes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7620</wp:posOffset>
            </wp:positionV>
            <wp:extent cx="317055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70555"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4"/>
          <w:szCs w:val="14"/>
          <w:color w:val="auto"/>
        </w:rPr>
        <w:t>Gilbert Avanes</w:t>
      </w:r>
    </w:p>
    <w:p>
      <w:pPr>
        <w:spacing w:after="0" w:line="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00" w:lineRule="exact"/>
        <w:rPr>
          <w:sz w:val="20"/>
          <w:szCs w:val="20"/>
          <w:color w:val="auto"/>
        </w:rPr>
      </w:pPr>
    </w:p>
    <w:p>
      <w:pPr>
        <w:spacing w:after="0" w:line="26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CRMEL THEATRES, llc,</w:t>
      </w:r>
    </w:p>
    <w:p>
      <w:pPr>
        <w:spacing w:after="0" w:line="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a Nevada limited liability Company</w:t>
      </w:r>
    </w:p>
    <w:p>
      <w:pPr>
        <w:spacing w:after="0" w:line="142" w:lineRule="exact"/>
        <w:rPr>
          <w:sz w:val="20"/>
          <w:szCs w:val="20"/>
          <w:color w:val="auto"/>
        </w:rPr>
      </w:pPr>
    </w:p>
    <w:p>
      <w:pPr>
        <w:ind w:left="4140"/>
        <w:spacing w:after="0"/>
        <w:tabs>
          <w:tab w:leader="none" w:pos="4480" w:val="left"/>
        </w:tabs>
        <w:rPr>
          <w:sz w:val="20"/>
          <w:szCs w:val="20"/>
          <w:color w:val="auto"/>
        </w:rPr>
      </w:pPr>
      <w:r>
        <w:rPr>
          <w:rFonts w:ascii="Times New Roman" w:cs="Times New Roman" w:eastAsia="Times New Roman" w:hAnsi="Times New Roman"/>
          <w:sz w:val="14"/>
          <w:szCs w:val="14"/>
          <w:color w:val="auto"/>
        </w:rPr>
        <w:t>By:</w:t>
        <w:tab/>
        <w:t>/s/ Gilbert Avanes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7620</wp:posOffset>
            </wp:positionV>
            <wp:extent cx="317055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70555"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4"/>
          <w:szCs w:val="14"/>
          <w:color w:val="auto"/>
        </w:rPr>
        <w:t>Gilbert Avanes</w:t>
      </w:r>
    </w:p>
    <w:p>
      <w:pPr>
        <w:spacing w:after="0" w:line="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00" w:lineRule="exact"/>
        <w:rPr>
          <w:sz w:val="20"/>
          <w:szCs w:val="20"/>
          <w:color w:val="auto"/>
        </w:rPr>
      </w:pPr>
    </w:p>
    <w:p>
      <w:pPr>
        <w:spacing w:after="0" w:line="27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READING FOOD SERVCIES, LLC,</w:t>
      </w:r>
    </w:p>
    <w:p>
      <w:pPr>
        <w:spacing w:after="0" w:line="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a Nevada limited liability Company</w:t>
      </w:r>
    </w:p>
    <w:p>
      <w:pPr>
        <w:spacing w:after="0" w:line="142" w:lineRule="exact"/>
        <w:rPr>
          <w:sz w:val="20"/>
          <w:szCs w:val="20"/>
          <w:color w:val="auto"/>
        </w:rPr>
      </w:pPr>
    </w:p>
    <w:p>
      <w:pPr>
        <w:ind w:left="4140"/>
        <w:spacing w:after="0"/>
        <w:tabs>
          <w:tab w:leader="none" w:pos="4480" w:val="left"/>
        </w:tabs>
        <w:rPr>
          <w:sz w:val="20"/>
          <w:szCs w:val="20"/>
          <w:color w:val="auto"/>
        </w:rPr>
      </w:pPr>
      <w:r>
        <w:rPr>
          <w:rFonts w:ascii="Times New Roman" w:cs="Times New Roman" w:eastAsia="Times New Roman" w:hAnsi="Times New Roman"/>
          <w:sz w:val="14"/>
          <w:szCs w:val="14"/>
          <w:color w:val="auto"/>
        </w:rPr>
        <w:t>By:</w:t>
        <w:tab/>
        <w:t>/s/ Gilbert Avanes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7620</wp:posOffset>
            </wp:positionV>
            <wp:extent cx="317055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70555"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4"/>
          <w:szCs w:val="14"/>
          <w:color w:val="auto"/>
        </w:rPr>
        <w:t>Gilbert Avanes</w:t>
      </w:r>
    </w:p>
    <w:p>
      <w:pPr>
        <w:spacing w:after="0" w:line="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30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READING INTERNATIONAL, INC.,</w:t>
      </w:r>
    </w:p>
    <w:p>
      <w:pPr>
        <w:spacing w:after="0" w:line="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a Nevada corporation</w:t>
      </w:r>
    </w:p>
    <w:p>
      <w:pPr>
        <w:spacing w:after="0" w:line="142" w:lineRule="exact"/>
        <w:rPr>
          <w:sz w:val="20"/>
          <w:szCs w:val="20"/>
          <w:color w:val="auto"/>
        </w:rPr>
      </w:pPr>
    </w:p>
    <w:p>
      <w:pPr>
        <w:ind w:left="4140"/>
        <w:spacing w:after="0"/>
        <w:tabs>
          <w:tab w:leader="none" w:pos="4480" w:val="left"/>
        </w:tabs>
        <w:rPr>
          <w:sz w:val="20"/>
          <w:szCs w:val="20"/>
          <w:color w:val="auto"/>
        </w:rPr>
      </w:pPr>
      <w:r>
        <w:rPr>
          <w:rFonts w:ascii="Times New Roman" w:cs="Times New Roman" w:eastAsia="Times New Roman" w:hAnsi="Times New Roman"/>
          <w:sz w:val="14"/>
          <w:szCs w:val="14"/>
          <w:color w:val="auto"/>
        </w:rPr>
        <w:t>By:</w:t>
        <w:tab/>
        <w:t>/s/ Gilbert Avanes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7620</wp:posOffset>
            </wp:positionV>
            <wp:extent cx="317055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70555"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4"/>
          <w:szCs w:val="14"/>
          <w:color w:val="auto"/>
        </w:rPr>
        <w:t>Gilbert Avanes</w:t>
      </w:r>
    </w:p>
    <w:p>
      <w:pPr>
        <w:spacing w:after="0" w:line="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00" w:lineRule="exact"/>
        <w:rPr>
          <w:sz w:val="20"/>
          <w:szCs w:val="20"/>
          <w:color w:val="auto"/>
        </w:rPr>
      </w:pPr>
    </w:p>
    <w:p>
      <w:pPr>
        <w:spacing w:after="0" w:line="24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3"/>
          <w:szCs w:val="13"/>
          <w:b w:val="1"/>
          <w:bCs w:val="1"/>
          <w:color w:val="auto"/>
        </w:rPr>
        <w:t>ADMINISTRATIVE AGENT AND LENDERS:</w:t>
      </w:r>
    </w:p>
    <w:p>
      <w:pPr>
        <w:spacing w:after="0" w:line="3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BANK OF AMERICA,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2549525</wp:posOffset>
            </wp:positionH>
            <wp:positionV relativeFrom="paragraph">
              <wp:posOffset>-97155</wp:posOffset>
            </wp:positionV>
            <wp:extent cx="34721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72180" cy="5715"/>
                    </a:xfrm>
                    <a:prstGeom prst="rect">
                      <a:avLst/>
                    </a:prstGeom>
                    <a:noFill/>
                  </pic:spPr>
                </pic:pic>
              </a:graphicData>
            </a:graphic>
          </wp:anchor>
        </w:drawing>
      </w:r>
    </w:p>
    <w:p>
      <w:pPr>
        <w:ind w:left="4020"/>
        <w:spacing w:after="0"/>
        <w:rPr>
          <w:sz w:val="20"/>
          <w:szCs w:val="20"/>
          <w:color w:val="auto"/>
        </w:rPr>
      </w:pPr>
      <w:r>
        <w:rPr>
          <w:rFonts w:ascii="Times New Roman" w:cs="Times New Roman" w:eastAsia="Times New Roman" w:hAnsi="Times New Roman"/>
          <w:sz w:val="14"/>
          <w:szCs w:val="14"/>
          <w:color w:val="auto"/>
        </w:rPr>
        <w:t>as Administrative Agent</w:t>
      </w:r>
    </w:p>
    <w:p>
      <w:pPr>
        <w:spacing w:after="0" w:line="14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By:</w:t>
      </w:r>
    </w:p>
    <w:p>
      <w:pPr>
        <w:spacing w:after="0" w:line="1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363636"/>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2922270</wp:posOffset>
            </wp:positionH>
            <wp:positionV relativeFrom="paragraph">
              <wp:posOffset>-100965</wp:posOffset>
            </wp:positionV>
            <wp:extent cx="309943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099435" cy="5715"/>
                    </a:xfrm>
                    <a:prstGeom prst="rect">
                      <a:avLst/>
                    </a:prstGeom>
                    <a:noFill/>
                  </pic:spPr>
                </pic:pic>
              </a:graphicData>
            </a:graphic>
          </wp:anchor>
        </w:drawing>
      </w:r>
    </w:p>
    <w:p>
      <w:pPr>
        <w:ind w:left="4020"/>
        <w:spacing w:after="0"/>
        <w:rPr>
          <w:sz w:val="20"/>
          <w:szCs w:val="20"/>
          <w:color w:val="auto"/>
        </w:rPr>
      </w:pPr>
      <w:r>
        <w:rPr>
          <w:rFonts w:ascii="Times New Roman" w:cs="Times New Roman" w:eastAsia="Times New Roman" w:hAnsi="Times New Roman"/>
          <w:sz w:val="14"/>
          <w:szCs w:val="14"/>
          <w:color w:val="363636"/>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2922270</wp:posOffset>
            </wp:positionH>
            <wp:positionV relativeFrom="paragraph">
              <wp:posOffset>8255</wp:posOffset>
            </wp:positionV>
            <wp:extent cx="309943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099435" cy="5715"/>
                    </a:xfrm>
                    <a:prstGeom prst="rect">
                      <a:avLst/>
                    </a:prstGeom>
                    <a:noFill/>
                  </pic:spPr>
                </pic:pic>
              </a:graphicData>
            </a:graphic>
          </wp:anchor>
        </w:drawing>
        <w:drawing>
          <wp:anchor simplePos="0" relativeHeight="251657728" behindDoc="1" locked="0" layoutInCell="0" allowOverlap="1">
            <wp:simplePos x="0" y="0"/>
            <wp:positionH relativeFrom="column">
              <wp:posOffset>2922270</wp:posOffset>
            </wp:positionH>
            <wp:positionV relativeFrom="paragraph">
              <wp:posOffset>-97155</wp:posOffset>
            </wp:positionV>
            <wp:extent cx="309943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099435" cy="571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BANK OF AMERICA, N.A.,</w:t>
      </w:r>
    </w:p>
    <w:p>
      <w:pPr>
        <w:spacing w:after="0" w:line="1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color w:val="auto"/>
        </w:rPr>
        <w:t>as a Lender, L/C Issuer and Swingline Lender</w:t>
      </w:r>
    </w:p>
    <w:p>
      <w:pPr>
        <w:spacing w:after="0" w:line="14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color w:val="auto"/>
        </w:rPr>
        <w:t>By:</w:t>
      </w:r>
    </w:p>
    <w:p>
      <w:pPr>
        <w:spacing w:after="0" w:line="1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color w:val="363636"/>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-100965</wp:posOffset>
            </wp:positionV>
            <wp:extent cx="309372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093720" cy="5715"/>
                    </a:xfrm>
                    <a:prstGeom prst="rect">
                      <a:avLst/>
                    </a:prstGeom>
                    <a:noFill/>
                  </pic:spPr>
                </pic:pic>
              </a:graphicData>
            </a:graphic>
          </wp:anchor>
        </w:drawing>
      </w:r>
    </w:p>
    <w:p>
      <w:pPr>
        <w:ind w:left="4040"/>
        <w:spacing w:after="0"/>
        <w:rPr>
          <w:sz w:val="20"/>
          <w:szCs w:val="20"/>
          <w:color w:val="auto"/>
        </w:rPr>
      </w:pPr>
      <w:r>
        <w:rPr>
          <w:rFonts w:ascii="Times New Roman" w:cs="Times New Roman" w:eastAsia="Times New Roman" w:hAnsi="Times New Roman"/>
          <w:sz w:val="14"/>
          <w:szCs w:val="14"/>
          <w:color w:val="363636"/>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8255</wp:posOffset>
            </wp:positionV>
            <wp:extent cx="309372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093720" cy="57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-97155</wp:posOffset>
            </wp:positionV>
            <wp:extent cx="309372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93720" cy="571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398145</wp:posOffset>
            </wp:positionV>
            <wp:extent cx="636016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60160" cy="43180"/>
                    </a:xfrm>
                    <a:prstGeom prst="rect">
                      <a:avLst/>
                    </a:prstGeom>
                    <a:noFill/>
                  </pic:spPr>
                </pic:pic>
              </a:graphicData>
            </a:graphic>
          </wp:anchor>
        </w:drawing>
      </w:r>
    </w:p>
    <w:p>
      <w:pPr>
        <w:sectPr>
          <w:pgSz w:w="11900" w:h="16838" w:orient="portrait"/>
          <w:cols w:equalWidth="0" w:num="1">
            <w:col w:w="9019"/>
          </w:cols>
          <w:pgMar w:left="1440" w:top="289" w:right="1440" w:bottom="1440" w:gutter="0" w:footer="0" w:header="0"/>
        </w:sectPr>
      </w:pPr>
    </w:p>
    <w:bookmarkStart w:id="64" w:name="page65"/>
    <w:bookmarkEnd w:id="64"/>
    <w:p>
      <w:pPr>
        <w:ind w:left="40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3842385</wp:posOffset>
            </wp:positionH>
            <wp:positionV relativeFrom="page">
              <wp:posOffset>911225</wp:posOffset>
            </wp:positionV>
            <wp:extent cx="309372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93720" cy="5715"/>
                    </a:xfrm>
                    <a:prstGeom prst="rect">
                      <a:avLst/>
                    </a:prstGeom>
                    <a:noFill/>
                  </pic:spPr>
                </pic:pic>
              </a:graphicData>
            </a:graphic>
          </wp:anchor>
        </w:drawing>
        <w:drawing>
          <wp:anchor simplePos="0" relativeHeight="251657728" behindDoc="1" locked="0" layoutInCell="0" allowOverlap="1">
            <wp:simplePos x="0" y="0"/>
            <wp:positionH relativeFrom="page">
              <wp:posOffset>600075</wp:posOffset>
            </wp:positionH>
            <wp:positionV relativeFrom="page">
              <wp:posOffset>1099820</wp:posOffset>
            </wp:positionV>
            <wp:extent cx="636016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60160" cy="43180"/>
                    </a:xfrm>
                    <a:prstGeom prst="rect">
                      <a:avLst/>
                    </a:prstGeom>
                    <a:noFill/>
                  </pic:spPr>
                </pic:pic>
              </a:graphicData>
            </a:graphic>
          </wp:anchor>
        </w:drawing>
        <w:t>BANK OF HAWAII,</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color w:val="auto"/>
        </w:rPr>
        <w:t>As a Lender</w:t>
      </w:r>
    </w:p>
    <w:p>
      <w:pPr>
        <w:spacing w:after="0" w:line="14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color w:val="auto"/>
        </w:rPr>
        <w:t>By:</w:t>
      </w:r>
    </w:p>
    <w:p>
      <w:pPr>
        <w:spacing w:after="0" w:line="1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color w:val="363636"/>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-100965</wp:posOffset>
            </wp:positionV>
            <wp:extent cx="309372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093720" cy="5715"/>
                    </a:xfrm>
                    <a:prstGeom prst="rect">
                      <a:avLst/>
                    </a:prstGeom>
                    <a:noFill/>
                  </pic:spPr>
                </pic:pic>
              </a:graphicData>
            </a:graphic>
          </wp:anchor>
        </w:drawing>
      </w:r>
    </w:p>
    <w:p>
      <w:pPr>
        <w:ind w:left="4040"/>
        <w:spacing w:after="0"/>
        <w:rPr>
          <w:sz w:val="20"/>
          <w:szCs w:val="20"/>
          <w:color w:val="auto"/>
        </w:rPr>
      </w:pPr>
      <w:r>
        <w:rPr>
          <w:rFonts w:ascii="Times New Roman" w:cs="Times New Roman" w:eastAsia="Times New Roman" w:hAnsi="Times New Roman"/>
          <w:sz w:val="14"/>
          <w:szCs w:val="14"/>
          <w:color w:val="363636"/>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-97155</wp:posOffset>
            </wp:positionV>
            <wp:extent cx="309372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93720" cy="571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65" w:name="page66"/>
    <w:bookmarkEnd w:id="65"/>
    <w:p>
      <w:pPr>
        <w:jc w:val="center"/>
        <w:ind w:right="-1079"/>
        <w:spacing w:after="0"/>
        <w:rPr>
          <w:sz w:val="20"/>
          <w:szCs w:val="20"/>
          <w:color w:val="auto"/>
        </w:rPr>
      </w:pPr>
      <w:r>
        <w:rPr>
          <w:rFonts w:ascii="Times New Roman" w:cs="Times New Roman" w:eastAsia="Times New Roman" w:hAnsi="Times New Roman"/>
          <w:sz w:val="14"/>
          <w:szCs w:val="14"/>
          <w:b w:val="1"/>
          <w:bCs w:val="1"/>
          <w:color w:val="auto"/>
        </w:rPr>
        <w:t>READING INTERNATIONAL, INC.</w:t>
      </w:r>
    </w:p>
    <w:p>
      <w:pPr>
        <w:spacing w:after="0" w:line="156"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4"/>
          <w:szCs w:val="14"/>
          <w:b w:val="1"/>
          <w:bCs w:val="1"/>
          <w:color w:val="auto"/>
        </w:rPr>
        <w:t>2020 STOCK INCENTIVE PLAN STOCK OPTION AGREEMENT</w:t>
      </w:r>
    </w:p>
    <w:p>
      <w:pPr>
        <w:spacing w:after="0" w:line="156"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4"/>
          <w:szCs w:val="14"/>
          <w:b w:val="1"/>
          <w:bCs w:val="1"/>
          <w:color w:val="auto"/>
        </w:rPr>
        <w:t>[Employee/Executive Officer]</w:t>
      </w:r>
    </w:p>
    <w:p>
      <w:pPr>
        <w:spacing w:after="0" w:line="158" w:lineRule="exact"/>
        <w:rPr>
          <w:sz w:val="20"/>
          <w:szCs w:val="20"/>
          <w:color w:val="auto"/>
        </w:rPr>
      </w:pPr>
    </w:p>
    <w:p>
      <w:pPr>
        <w:ind w:right="20" w:firstLine="1556"/>
        <w:spacing w:after="0" w:line="238" w:lineRule="auto"/>
        <w:rPr>
          <w:sz w:val="20"/>
          <w:szCs w:val="20"/>
          <w:color w:val="auto"/>
        </w:rPr>
      </w:pPr>
      <w:r>
        <w:rPr>
          <w:rFonts w:ascii="Times New Roman" w:cs="Times New Roman" w:eastAsia="Times New Roman" w:hAnsi="Times New Roman"/>
          <w:sz w:val="14"/>
          <w:szCs w:val="14"/>
          <w:color w:val="auto"/>
        </w:rPr>
        <w:t>Unless otherwise defined herein, capitalized terms used in this Stock Option Agreement (this “Option Agreement”) shall have the meanings ascribed in the Reading International, Inc. (“Reading” or the “Company”) 2020 Stock Incentive Plan, as amended (the “Plan”).</w:t>
      </w:r>
    </w:p>
    <w:p>
      <w:pPr>
        <w:spacing w:after="0" w:line="153" w:lineRule="exact"/>
        <w:rPr>
          <w:sz w:val="20"/>
          <w:szCs w:val="20"/>
          <w:color w:val="auto"/>
        </w:rPr>
      </w:pPr>
    </w:p>
    <w:p>
      <w:pPr>
        <w:ind w:left="1540" w:hanging="451"/>
        <w:spacing w:after="0"/>
        <w:tabs>
          <w:tab w:leader="none" w:pos="1540" w:val="left"/>
        </w:tabs>
        <w:numPr>
          <w:ilvl w:val="0"/>
          <w:numId w:val="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NOTICE OF STOCK OPTION GRANT</w:t>
      </w:r>
    </w:p>
    <w:p>
      <w:pPr>
        <w:ind w:left="1540" w:hanging="451"/>
        <w:spacing w:after="0"/>
        <w:tabs>
          <w:tab w:leader="none" w:pos="1540" w:val="left"/>
        </w:tabs>
        <w:numPr>
          <w:ilvl w:val="0"/>
          <w:numId w:val="48"/>
        </w:numPr>
        <w:rPr>
          <w:rFonts w:ascii="Times New Roman" w:cs="Times New Roman" w:eastAsia="Times New Roman" w:hAnsi="Times New Roman"/>
          <w:sz w:val="14"/>
          <w:szCs w:val="14"/>
          <w:b w:val="1"/>
          <w:bCs w:val="1"/>
          <w:color w:val="auto"/>
        </w:rPr>
      </w:pPr>
    </w:p>
    <w:p>
      <w:pPr>
        <w:ind w:left="1540"/>
        <w:spacing w:after="0" w:line="23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Name:</w:t>
      </w:r>
    </w:p>
    <w:p>
      <w:pPr>
        <w:ind w:left="1540"/>
        <w:spacing w:after="0" w:line="236" w:lineRule="auto"/>
        <w:rPr>
          <w:rFonts w:ascii="Times New Roman" w:cs="Times New Roman" w:eastAsia="Times New Roman" w:hAnsi="Times New Roman"/>
          <w:sz w:val="14"/>
          <w:szCs w:val="14"/>
          <w:b w:val="1"/>
          <w:bCs w:val="1"/>
          <w:color w:val="auto"/>
        </w:rPr>
      </w:pPr>
    </w:p>
    <w:p>
      <w:pPr>
        <w:sectPr>
          <w:pgSz w:w="11900" w:h="16838" w:orient="portrait"/>
          <w:cols w:equalWidth="0" w:num="1">
            <w:col w:w="10820"/>
          </w:cols>
          <w:pgMar w:left="0" w:top="453" w:right="1079" w:bottom="0" w:gutter="0" w:footer="0" w:header="0"/>
        </w:sectPr>
      </w:pPr>
    </w:p>
    <w:p>
      <w:pPr>
        <w:ind w:left="1540"/>
        <w:spacing w:after="0"/>
        <w:rPr>
          <w:sz w:val="20"/>
          <w:szCs w:val="20"/>
          <w:color w:val="auto"/>
        </w:rPr>
      </w:pPr>
      <w:r>
        <w:rPr>
          <w:rFonts w:ascii="Times New Roman" w:cs="Times New Roman" w:eastAsia="Times New Roman" w:hAnsi="Times New Roman"/>
          <w:sz w:val="13"/>
          <w:szCs w:val="13"/>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189 Second Ave, Suite 2S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NY 10003</w:t>
      </w:r>
    </w:p>
    <w:p>
      <w:pPr>
        <w:spacing w:after="0" w:line="159" w:lineRule="exact"/>
        <w:rPr>
          <w:sz w:val="20"/>
          <w:szCs w:val="20"/>
          <w:color w:val="auto"/>
        </w:rPr>
      </w:pPr>
    </w:p>
    <w:p>
      <w:pPr>
        <w:sectPr>
          <w:pgSz w:w="11900" w:h="16838" w:orient="portrait"/>
          <w:cols w:equalWidth="0" w:num="2">
            <w:col w:w="2640" w:space="720"/>
            <w:col w:w="7460"/>
          </w:cols>
          <w:pgMar w:left="0" w:top="453" w:right="1079" w:bottom="0" w:gutter="0" w:footer="0" w:header="0"/>
          <w:type w:val="continuous"/>
        </w:sectPr>
      </w:pPr>
    </w:p>
    <w:p>
      <w:pPr>
        <w:ind w:left="1080" w:right="20"/>
        <w:spacing w:after="0" w:line="233" w:lineRule="auto"/>
        <w:rPr>
          <w:sz w:val="20"/>
          <w:szCs w:val="20"/>
          <w:color w:val="auto"/>
        </w:rPr>
      </w:pPr>
      <w:r>
        <w:rPr>
          <w:rFonts w:ascii="Times New Roman" w:cs="Times New Roman" w:eastAsia="Times New Roman" w:hAnsi="Times New Roman"/>
          <w:sz w:val="14"/>
          <w:szCs w:val="14"/>
          <w:color w:val="auto"/>
        </w:rPr>
        <w:t>The Company is pleased to inform you that, subject to the terms and conditions of the Plan and this Option Agreement, you have been granted an Option to purchase shares of the Company’s Class A Non-Voting Common Stock (“Option Shares”), as follows:</w:t>
      </w:r>
    </w:p>
    <w:p>
      <w:pPr>
        <w:spacing w:after="0" w:line="1" w:lineRule="exact"/>
        <w:rPr>
          <w:sz w:val="20"/>
          <w:szCs w:val="20"/>
          <w:color w:val="auto"/>
        </w:rPr>
      </w:pPr>
    </w:p>
    <w:tbl>
      <w:tblPr>
        <w:tblLayout w:type="fixed"/>
        <w:tblInd w:w="1080" w:type="dxa"/>
        <w:tblCellMar>
          <w:top w:w="0" w:type="dxa"/>
          <w:left w:w="0" w:type="dxa"/>
          <w:bottom w:w="0" w:type="dxa"/>
          <w:right w:w="0" w:type="dxa"/>
        </w:tblCellMar>
      </w:tblPr>
      <w:tr>
        <w:trPr>
          <w:trHeight w:val="144"/>
        </w:trPr>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Date of Grant: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Vesting Commencement Date: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Exercise Price per Share:</w:t>
            </w:r>
          </w:p>
        </w:tc>
        <w:tc>
          <w:tcPr>
            <w:tcW w:w="6660" w:type="dxa"/>
            <w:vAlign w:val="bottom"/>
            <w:gridSpan w:val="3"/>
          </w:tcPr>
          <w:p>
            <w:pPr>
              <w:ind w:left="2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30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Number of Option Shares: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Total Exercise Price:</w:t>
            </w:r>
          </w:p>
        </w:tc>
        <w:tc>
          <w:tcPr>
            <w:tcW w:w="6660" w:type="dxa"/>
            <w:vAlign w:val="bottom"/>
            <w:gridSpan w:val="3"/>
          </w:tcPr>
          <w:p>
            <w:pPr>
              <w:ind w:left="2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0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Type of Option</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4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Incentive Stock Option (“ISO”)</w:t>
            </w:r>
          </w:p>
        </w:tc>
        <w:tc>
          <w:tcPr>
            <w:tcW w:w="0" w:type="dxa"/>
            <w:vAlign w:val="bottom"/>
          </w:tcPr>
          <w:p>
            <w:pPr>
              <w:spacing w:after="0"/>
              <w:rPr>
                <w:sz w:val="1"/>
                <w:szCs w:val="1"/>
                <w:color w:val="auto"/>
              </w:rPr>
            </w:pPr>
          </w:p>
        </w:tc>
      </w:tr>
      <w:tr>
        <w:trPr>
          <w:trHeight w:val="455"/>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Term/Expiration Date:</w:t>
            </w:r>
          </w:p>
        </w:tc>
        <w:tc>
          <w:tcPr>
            <w:tcW w:w="66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X Nonstatutory Stock Option (“NSO”)</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Vesting Schedule:</w:t>
            </w:r>
          </w:p>
        </w:tc>
        <w:tc>
          <w:tcPr>
            <w:tcW w:w="666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7"/>
              </w:rPr>
              <w:t>The Option shall become vested and exercisable in accordance with the following schedule: Subject to the limitations set</w:t>
            </w: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666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color w:val="auto"/>
                <w:w w:val="97"/>
              </w:rPr>
              <w:t>forth in this Option Agreement and the Plan, this Option will vest (i) 50% on 11:59 pm, Pacific Standard Time on the last</w:t>
            </w: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666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color w:val="auto"/>
              </w:rPr>
              <w:t>business day prior to the one-year anniversary of the Date of Grant if Optionee continues to provide or meet the</w:t>
            </w: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666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color w:val="auto"/>
              </w:rPr>
              <w:t>requirement of “Service” under the Plan during such time period  (the “First Vesting Date”)and (ii) 50% on 11:59 pm,</w:t>
            </w: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666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color w:val="auto"/>
              </w:rPr>
              <w:t>Pacific Standard Time on the last business day prior to the second year anniversary of the Date of Grant if Optionee</w:t>
            </w: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666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color w:val="auto"/>
                <w:w w:val="99"/>
              </w:rPr>
              <w:t>continues to provide or meet the requirement of “Service” under the Plan during such time period (the “Second Vesting</w:t>
            </w:r>
          </w:p>
        </w:tc>
        <w:tc>
          <w:tcPr>
            <w:tcW w:w="0" w:type="dxa"/>
            <w:vAlign w:val="bottom"/>
          </w:tcPr>
          <w:p>
            <w:pPr>
              <w:spacing w:after="0"/>
              <w:rPr>
                <w:sz w:val="1"/>
                <w:szCs w:val="1"/>
                <w:color w:val="auto"/>
              </w:rPr>
            </w:pPr>
          </w:p>
        </w:tc>
      </w:tr>
      <w:tr>
        <w:trPr>
          <w:trHeight w:val="176"/>
        </w:trPr>
        <w:tc>
          <w:tcPr>
            <w:tcW w:w="3080" w:type="dxa"/>
            <w:vAlign w:val="bottom"/>
            <w:vMerge w:val="restart"/>
          </w:tcPr>
          <w:p>
            <w:pPr>
              <w:spacing w:after="0"/>
              <w:rPr>
                <w:sz w:val="15"/>
                <w:szCs w:val="15"/>
                <w:color w:val="auto"/>
              </w:rPr>
            </w:pPr>
          </w:p>
        </w:tc>
        <w:tc>
          <w:tcPr>
            <w:tcW w:w="6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Date”).</w:t>
            </w:r>
          </w:p>
        </w:tc>
        <w:tc>
          <w:tcPr>
            <w:tcW w:w="0" w:type="dxa"/>
            <w:vAlign w:val="bottom"/>
          </w:tcPr>
          <w:p>
            <w:pPr>
              <w:spacing w:after="0"/>
              <w:rPr>
                <w:sz w:val="1"/>
                <w:szCs w:val="1"/>
                <w:color w:val="auto"/>
              </w:rPr>
            </w:pPr>
          </w:p>
        </w:tc>
      </w:tr>
      <w:tr>
        <w:trPr>
          <w:trHeight w:val="158"/>
        </w:trPr>
        <w:tc>
          <w:tcPr>
            <w:tcW w:w="30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3080" w:type="dxa"/>
            <w:vAlign w:val="bottom"/>
          </w:tcPr>
          <w:p>
            <w:pPr>
              <w:spacing w:after="0"/>
              <w:rPr>
                <w:sz w:val="24"/>
                <w:szCs w:val="24"/>
                <w:color w:val="auto"/>
              </w:rPr>
            </w:pPr>
          </w:p>
        </w:tc>
        <w:tc>
          <w:tcPr>
            <w:tcW w:w="6660" w:type="dxa"/>
            <w:vAlign w:val="bottom"/>
            <w:gridSpan w:val="3"/>
          </w:tcPr>
          <w:p>
            <w:pPr>
              <w:ind w:left="174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80"/>
        </w:trPr>
        <w:tc>
          <w:tcPr>
            <w:tcW w:w="30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4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6852285</wp:posOffset>
            </wp:positionH>
            <wp:positionV relativeFrom="paragraph">
              <wp:posOffset>-29845</wp:posOffset>
            </wp:positionV>
            <wp:extent cx="31115"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-29845</wp:posOffset>
            </wp:positionV>
            <wp:extent cx="31115"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10820"/>
          </w:cols>
          <w:pgMar w:left="0" w:top="453" w:right="1079" w:bottom="0" w:gutter="0" w:footer="0" w:header="0"/>
          <w:type w:val="continuous"/>
        </w:sectPr>
      </w:pPr>
    </w:p>
    <w:bookmarkStart w:id="66" w:name="page67"/>
    <w:bookmarkEnd w:id="66"/>
    <w:p>
      <w:pPr>
        <w:spacing w:after="0" w:line="200" w:lineRule="exact"/>
        <w:rPr>
          <w:sz w:val="20"/>
          <w:szCs w:val="20"/>
          <w:color w:val="auto"/>
        </w:rPr>
      </w:pPr>
    </w:p>
    <w:p>
      <w:pPr>
        <w:ind w:left="1540" w:hanging="451"/>
        <w:spacing w:after="0"/>
        <w:tabs>
          <w:tab w:leader="none" w:pos="1540" w:val="left"/>
        </w:tabs>
        <w:numPr>
          <w:ilvl w:val="0"/>
          <w:numId w:val="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AGREEMENT</w:t>
      </w:r>
    </w:p>
    <w:p>
      <w:pPr>
        <w:ind w:left="1540" w:hanging="451"/>
        <w:spacing w:after="0"/>
        <w:tabs>
          <w:tab w:leader="none" w:pos="1540" w:val="left"/>
        </w:tabs>
        <w:numPr>
          <w:ilvl w:val="0"/>
          <w:numId w:val="49"/>
        </w:numPr>
        <w:rPr>
          <w:rFonts w:ascii="Times New Roman" w:cs="Times New Roman" w:eastAsia="Times New Roman" w:hAnsi="Times New Roman"/>
          <w:sz w:val="14"/>
          <w:szCs w:val="14"/>
          <w:b w:val="1"/>
          <w:bCs w:val="1"/>
          <w:color w:val="auto"/>
        </w:rPr>
      </w:pPr>
    </w:p>
    <w:p>
      <w:pPr>
        <w:ind w:left="1580" w:hanging="491"/>
        <w:spacing w:after="0" w:line="236" w:lineRule="auto"/>
        <w:tabs>
          <w:tab w:leader="none" w:pos="15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Grant of Option.</w:t>
      </w:r>
    </w:p>
    <w:p>
      <w:pPr>
        <w:ind w:left="1580" w:hanging="491"/>
        <w:spacing w:after="0" w:line="236" w:lineRule="auto"/>
        <w:tabs>
          <w:tab w:leader="none" w:pos="1580" w:val="left"/>
        </w:tabs>
        <w:numPr>
          <w:ilvl w:val="0"/>
          <w:numId w:val="50"/>
        </w:numPr>
        <w:rPr>
          <w:rFonts w:ascii="Times New Roman" w:cs="Times New Roman" w:eastAsia="Times New Roman" w:hAnsi="Times New Roman"/>
          <w:sz w:val="14"/>
          <w:szCs w:val="14"/>
          <w:color w:val="auto"/>
        </w:rPr>
      </w:pPr>
    </w:p>
    <w:p>
      <w:pPr>
        <w:jc w:val="both"/>
        <w:ind w:left="1080" w:firstLine="456"/>
        <w:spacing w:after="0" w:line="236" w:lineRule="auto"/>
        <w:tabs>
          <w:tab w:leader="none" w:pos="1995"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hereby grants to the Optionee named in the Notice of Grant contained in Part I of this Option Agreement (the “Notice of Grant”) an Option (this “Option”) to purchase the number of Shares set forth in the Notice of Grant, at the exercise price per Share set forth in the Notice of Grant (the “Exercise Price”), subject to the terms and conditions of the Plan, which is incorporated herein by reference. Subject to Section 12 of the Plan, in the event of a conflict between the terms and conditions of the Plan and the terms and conditions of this Option Agreement, the terms and conditions of the Plan shall prevail.</w:t>
      </w:r>
    </w:p>
    <w:p>
      <w:pPr>
        <w:jc w:val="both"/>
        <w:ind w:left="1080" w:firstLine="456"/>
        <w:spacing w:after="0" w:line="236" w:lineRule="auto"/>
        <w:tabs>
          <w:tab w:leader="none" w:pos="1995" w:val="left"/>
        </w:tabs>
        <w:numPr>
          <w:ilvl w:val="1"/>
          <w:numId w:val="50"/>
        </w:numPr>
        <w:rPr>
          <w:rFonts w:ascii="Times New Roman" w:cs="Times New Roman" w:eastAsia="Times New Roman" w:hAnsi="Times New Roman"/>
          <w:sz w:val="14"/>
          <w:szCs w:val="14"/>
          <w:color w:val="auto"/>
        </w:rPr>
      </w:pPr>
    </w:p>
    <w:p>
      <w:pPr>
        <w:jc w:val="both"/>
        <w:ind w:left="1080" w:firstLine="456"/>
        <w:spacing w:after="0" w:line="236" w:lineRule="auto"/>
        <w:tabs>
          <w:tab w:leader="none" w:pos="2003"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designated in the Notice of Grant as an Incentive Stock Option, this Option is intended to qualify as an Incentive Stock Option under Section 422 of the Code; however, if this Option is intended to be an Incentive Stock Option, to the extent that it exceeds the $100,000 rule described in Section 10(d) of the Plan it shall be treated as a Nonstatutory Stock Option.</w:t>
      </w:r>
    </w:p>
    <w:p>
      <w:pPr>
        <w:jc w:val="both"/>
        <w:ind w:left="1080" w:firstLine="456"/>
        <w:spacing w:after="0" w:line="236" w:lineRule="auto"/>
        <w:tabs>
          <w:tab w:leader="none" w:pos="2003" w:val="left"/>
        </w:tabs>
        <w:numPr>
          <w:ilvl w:val="1"/>
          <w:numId w:val="50"/>
        </w:numPr>
        <w:rPr>
          <w:rFonts w:ascii="Times New Roman" w:cs="Times New Roman" w:eastAsia="Times New Roman" w:hAnsi="Times New Roman"/>
          <w:sz w:val="14"/>
          <w:szCs w:val="14"/>
          <w:color w:val="auto"/>
        </w:rPr>
      </w:pPr>
    </w:p>
    <w:p>
      <w:pPr>
        <w:ind w:left="1580" w:hanging="491"/>
        <w:spacing w:after="0" w:line="236" w:lineRule="auto"/>
        <w:tabs>
          <w:tab w:leader="none" w:pos="15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 of Option Shares.</w:t>
      </w:r>
    </w:p>
    <w:p>
      <w:pPr>
        <w:jc w:val="both"/>
        <w:ind w:left="1080" w:firstLine="456"/>
        <w:spacing w:after="0" w:line="236" w:lineRule="auto"/>
        <w:tabs>
          <w:tab w:leader="none" w:pos="1995"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 Schedule</w:t>
      </w:r>
      <w:r>
        <w:rPr>
          <w:rFonts w:ascii="Times New Roman" w:cs="Times New Roman" w:eastAsia="Times New Roman" w:hAnsi="Times New Roman"/>
          <w:sz w:val="14"/>
          <w:szCs w:val="14"/>
          <w:color w:val="auto"/>
        </w:rPr>
        <w:t>. The Option Shares as to which the Option shall have vested at any time in accordance with the terms of the Vesting Schedule set forth in the Notice of Grant are referred to as “Vested Shares,” and the Option Shares that shall not have vested are referred to as “Unvested Shares.” All of the Option Shares are Unvested Shares as of the date of this Option Agreement.</w:t>
      </w:r>
    </w:p>
    <w:p>
      <w:pPr>
        <w:jc w:val="both"/>
        <w:ind w:left="1080" w:firstLine="456"/>
        <w:spacing w:after="0" w:line="236" w:lineRule="auto"/>
        <w:tabs>
          <w:tab w:leader="none" w:pos="1995" w:val="left"/>
        </w:tabs>
        <w:numPr>
          <w:ilvl w:val="1"/>
          <w:numId w:val="51"/>
        </w:numPr>
        <w:rPr>
          <w:rFonts w:ascii="Times New Roman" w:cs="Times New Roman" w:eastAsia="Times New Roman" w:hAnsi="Times New Roman"/>
          <w:sz w:val="14"/>
          <w:szCs w:val="14"/>
          <w:color w:val="auto"/>
        </w:rPr>
      </w:pPr>
    </w:p>
    <w:p>
      <w:pPr>
        <w:jc w:val="both"/>
        <w:ind w:left="1080" w:firstLine="456"/>
        <w:spacing w:after="0" w:line="236" w:lineRule="auto"/>
        <w:tabs>
          <w:tab w:leader="none" w:pos="2003"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Unvested Shares Upon Early Termination of Service of Employment</w:t>
      </w:r>
      <w:r>
        <w:rPr>
          <w:rFonts w:ascii="Times New Roman" w:cs="Times New Roman" w:eastAsia="Times New Roman" w:hAnsi="Times New Roman"/>
          <w:sz w:val="14"/>
          <w:szCs w:val="14"/>
          <w:color w:val="auto"/>
        </w:rPr>
        <w:t>. Subject to subparagraph (c) hereof, if the Optionee ceases to remain employed by the Company prior to either the First Vesting Date or the Second Vesting Date for any reason, (i) the Option shall immediately and automatically cease to be exercisable for any Unvested Shares as of the date of termination of employment and (ii) the Optionee shall immediately and automatically cease to have any right under the Option with respect to Unvested Shares as of the date of termination of employment. In such event, this Option Agreement shall remain in full force and effect with respect to any Vested Shares.</w:t>
      </w:r>
    </w:p>
    <w:p>
      <w:pPr>
        <w:jc w:val="both"/>
        <w:ind w:left="1080" w:firstLine="456"/>
        <w:spacing w:after="0" w:line="236" w:lineRule="auto"/>
        <w:tabs>
          <w:tab w:leader="none" w:pos="2003" w:val="left"/>
        </w:tabs>
        <w:numPr>
          <w:ilvl w:val="1"/>
          <w:numId w:val="51"/>
        </w:numPr>
        <w:rPr>
          <w:rFonts w:ascii="Times New Roman" w:cs="Times New Roman" w:eastAsia="Times New Roman" w:hAnsi="Times New Roman"/>
          <w:sz w:val="14"/>
          <w:szCs w:val="14"/>
          <w:color w:val="auto"/>
        </w:rPr>
      </w:pPr>
    </w:p>
    <w:p>
      <w:pPr>
        <w:ind w:left="1080" w:firstLine="456"/>
        <w:spacing w:after="0" w:line="236" w:lineRule="auto"/>
        <w:tabs>
          <w:tab w:leader="none" w:pos="1995"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Board Discretion of Vesting</w:t>
      </w:r>
      <w:r>
        <w:rPr>
          <w:rFonts w:ascii="Times New Roman" w:cs="Times New Roman" w:eastAsia="Times New Roman" w:hAnsi="Times New Roman"/>
          <w:sz w:val="14"/>
          <w:szCs w:val="14"/>
          <w:color w:val="auto"/>
        </w:rPr>
        <w:t>. Upon recommendation of the Compensation and Stock Options Committee of the Board of Directors (the “Board”), the Board may take one or more actions that it finds in the best interest of the Company based on the applicable facts and circumstances with respect to vesting.</w:t>
      </w:r>
    </w:p>
    <w:p>
      <w:pPr>
        <w:ind w:left="1080" w:firstLine="456"/>
        <w:spacing w:after="0" w:line="236" w:lineRule="auto"/>
        <w:tabs>
          <w:tab w:leader="none" w:pos="1995" w:val="left"/>
        </w:tabs>
        <w:numPr>
          <w:ilvl w:val="1"/>
          <w:numId w:val="51"/>
        </w:numPr>
        <w:rPr>
          <w:rFonts w:ascii="Times New Roman" w:cs="Times New Roman" w:eastAsia="Times New Roman" w:hAnsi="Times New Roman"/>
          <w:sz w:val="14"/>
          <w:szCs w:val="14"/>
          <w:color w:val="auto"/>
        </w:rPr>
      </w:pPr>
    </w:p>
    <w:p>
      <w:pPr>
        <w:ind w:left="10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w:t>
      </w:r>
      <w:r>
        <w:rPr>
          <w:rFonts w:ascii="Times New Roman" w:cs="Times New Roman" w:eastAsia="Times New Roman" w:hAnsi="Times New Roman"/>
          <w:sz w:val="13"/>
          <w:szCs w:val="13"/>
          <w:u w:val="single" w:color="auto"/>
          <w:color w:val="auto"/>
        </w:rPr>
        <w:t>Acceleration of Vesting.</w:t>
      </w:r>
    </w:p>
    <w:p>
      <w:pPr>
        <w:ind w:left="2000" w:hanging="464"/>
        <w:spacing w:after="0" w:line="236" w:lineRule="auto"/>
        <w:tabs>
          <w:tab w:leader="none" w:pos="20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Optionee’s death or Disability (as defined in the Plan), all Unvested Options shall immediately vest as of the date of death or Disability.</w:t>
      </w:r>
    </w:p>
    <w:p>
      <w:pPr>
        <w:spacing w:after="0" w:line="158" w:lineRule="exact"/>
        <w:rPr>
          <w:sz w:val="20"/>
          <w:szCs w:val="20"/>
          <w:color w:val="auto"/>
        </w:rPr>
      </w:pPr>
    </w:p>
    <w:p>
      <w:pPr>
        <w:jc w:val="both"/>
        <w:ind w:left="1080" w:firstLine="456"/>
        <w:spacing w:after="0" w:line="236" w:lineRule="auto"/>
        <w:tabs>
          <w:tab w:leader="none" w:pos="2003"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within twenty-four months after a Change in Control, Optionee is Terminated Without Cause by the Company or any successor Person, or Resigns For Good Reason, and the Optionee is not a Participant in such Change in Control, the vesting of all Unvested Options which are not otherwise fully vested shall automatically accelerate so that all such Unvested Options shall, immediately when the Optionee is Terminated Without Cause or Resigns for Good Reason, become fully vested, free of all restrictions.</w:t>
      </w:r>
    </w:p>
    <w:p>
      <w:pPr>
        <w:jc w:val="both"/>
        <w:ind w:left="1080" w:firstLine="456"/>
        <w:spacing w:after="0" w:line="236" w:lineRule="auto"/>
        <w:tabs>
          <w:tab w:leader="none" w:pos="2003" w:val="left"/>
        </w:tabs>
        <w:numPr>
          <w:ilvl w:val="0"/>
          <w:numId w:val="53"/>
        </w:numPr>
        <w:rPr>
          <w:rFonts w:ascii="Times New Roman" w:cs="Times New Roman" w:eastAsia="Times New Roman" w:hAnsi="Times New Roman"/>
          <w:sz w:val="14"/>
          <w:szCs w:val="14"/>
          <w:color w:val="auto"/>
        </w:rPr>
      </w:pPr>
    </w:p>
    <w:p>
      <w:pPr>
        <w:jc w:val="both"/>
        <w:ind w:left="1080" w:firstLine="456"/>
        <w:spacing w:after="0" w:line="236" w:lineRule="auto"/>
        <w:tabs>
          <w:tab w:leader="none" w:pos="1995"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Corporate Transaction in which the Unvested Options are not to be Appropriately Replaced at or prior to the effective time of such Corporate Transaction, the vesting of all Unvested Options which are not otherwise fully vested shall automatically accelerate so that all such Unvested Options shall, immediately prior to the effective time of the Corporate Transaction, become fully vested, free of all restrictions.</w:t>
      </w:r>
    </w:p>
    <w:p>
      <w:pPr>
        <w:jc w:val="both"/>
        <w:ind w:left="1080" w:firstLine="456"/>
        <w:spacing w:after="0" w:line="236" w:lineRule="auto"/>
        <w:tabs>
          <w:tab w:leader="none" w:pos="1995" w:val="left"/>
        </w:tabs>
        <w:numPr>
          <w:ilvl w:val="0"/>
          <w:numId w:val="53"/>
        </w:numPr>
        <w:rPr>
          <w:rFonts w:ascii="Times New Roman" w:cs="Times New Roman" w:eastAsia="Times New Roman" w:hAnsi="Times New Roman"/>
          <w:sz w:val="14"/>
          <w:szCs w:val="14"/>
          <w:color w:val="auto"/>
        </w:rPr>
      </w:pPr>
    </w:p>
    <w:p>
      <w:pPr>
        <w:jc w:val="center"/>
        <w:ind w:right="-107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41910</wp:posOffset>
            </wp:positionV>
            <wp:extent cx="620649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06490" cy="43180"/>
                    </a:xfrm>
                    <a:prstGeom prst="rect">
                      <a:avLst/>
                    </a:prstGeom>
                    <a:noFill/>
                  </pic:spPr>
                </pic:pic>
              </a:graphicData>
            </a:graphic>
          </wp:anchor>
        </w:drawing>
      </w:r>
    </w:p>
    <w:p>
      <w:pPr>
        <w:sectPr>
          <w:pgSz w:w="11900" w:h="17038" w:orient="portrait"/>
          <w:cols w:equalWidth="0" w:num="1">
            <w:col w:w="10800"/>
          </w:cols>
          <w:pgMar w:left="0" w:top="770" w:right="1099" w:bottom="0" w:gutter="0" w:footer="0" w:header="0"/>
        </w:sectPr>
      </w:pPr>
    </w:p>
    <w:bookmarkStart w:id="67" w:name="page68"/>
    <w:bookmarkEnd w:id="67"/>
    <w:p>
      <w:pPr>
        <w:spacing w:after="0" w:line="200" w:lineRule="exact"/>
        <w:rPr>
          <w:sz w:val="20"/>
          <w:szCs w:val="20"/>
          <w:color w:val="auto"/>
        </w:rPr>
      </w:pPr>
    </w:p>
    <w:p>
      <w:pPr>
        <w:jc w:val="both"/>
        <w:ind w:left="1080" w:firstLine="456"/>
        <w:spacing w:after="0" w:line="236" w:lineRule="auto"/>
        <w:tabs>
          <w:tab w:leader="none" w:pos="2003"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within twenty-four months after a Corporate Transaction at or prior to which the Unvested Options have been Appropriately Replaced, Optionee is Terminated Without Cause by the Company or any successor Person, or Resigns For Good Reason, and the Optionee is not a Participant in such Corporate Transaction, the vesting of all Unvested Options (or the substitute awards by which the Unvested Options are Appropriately Replaced) which are not otherwise fully vested shall automatically accelerate so that all such Unvested Options (or such substitute awards) shall, immediately when the Optionee is Terminated Without Cause or Resigns For Good Reason, become fully vested, free of all restrictions.</w:t>
      </w:r>
    </w:p>
    <w:p>
      <w:pPr>
        <w:jc w:val="both"/>
        <w:ind w:left="1080" w:firstLine="456"/>
        <w:spacing w:after="0" w:line="236" w:lineRule="auto"/>
        <w:tabs>
          <w:tab w:leader="none" w:pos="2003" w:val="left"/>
        </w:tabs>
        <w:numPr>
          <w:ilvl w:val="0"/>
          <w:numId w:val="54"/>
        </w:numPr>
        <w:rPr>
          <w:rFonts w:ascii="Times New Roman" w:cs="Times New Roman" w:eastAsia="Times New Roman" w:hAnsi="Times New Roman"/>
          <w:sz w:val="14"/>
          <w:szCs w:val="14"/>
          <w:color w:val="auto"/>
        </w:rPr>
      </w:pPr>
    </w:p>
    <w:p>
      <w:pPr>
        <w:ind w:left="2000" w:hanging="464"/>
        <w:spacing w:after="0" w:line="236" w:lineRule="auto"/>
        <w:tabs>
          <w:tab w:leader="none" w:pos="20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Section II.C.:</w:t>
      </w:r>
    </w:p>
    <w:p>
      <w:pPr>
        <w:jc w:val="both"/>
        <w:ind w:left="1080" w:firstLine="904"/>
        <w:spacing w:after="0" w:line="236" w:lineRule="auto"/>
        <w:tabs>
          <w:tab w:leader="none" w:pos="2857"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Unvested Options shall be considered “Appropriately Replaced” if, in addition to providing for acceleration as provided in clause (d) of this Section II.C., at or prior to the Corporate Transaction, in the judgment of the Committee as constituted at the time the Corporate Transaction is proposed or announced to the Company (the “Evaluating Committee”), the Unvested Options or a substituted award will confer the right to receive, for each share of Common Stock that may be received pursuant to the Unvested Options existing immediately prior to the Corporate Transaction, on substantially the same vesting and other terms and conditions (including acceleration if the Optionee is Terminated Without Cause or Resigns For Good Reason) as were applicable to the Unvested Options immediately prior to the Corporate Transaction, the consideration (whether stock, cash or other securities or property) to be received in the Corporate Transaction by holders of Common Stock for each such share held on the effective date of such transaction (and if holders were offered a choice of consideration, the type of consideration chosen by the holders of a majority of the outstanding shares of Common Stock); provided, however, that if such consideration to be received in the transaction constituting a Corporate Transaction is not solely cash and/or common stock of the successor company or its parent or subsidiary, the Evaluating Committee may, if the obligations are to be assumed by the successor company, or its parent or subsidiary, approve that the consideration to be received upon the exercise or vesting of the Unvested Options (or the substituted award) will be common stock of the successor company or its parent or subsidiary substantially equal in fair market value to the per-share consideration received by holders of Common Stock in the transaction constituting a Corporate Transaction. The determination of such substantial equality of value of consideration shall be made by the Evaluating Committee in its sole discretion and its determination shall be conclusive and binding.</w:t>
      </w:r>
    </w:p>
    <w:p>
      <w:pPr>
        <w:jc w:val="both"/>
        <w:ind w:left="1080" w:firstLine="904"/>
        <w:spacing w:after="0" w:line="236" w:lineRule="auto"/>
        <w:tabs>
          <w:tab w:leader="none" w:pos="2857" w:val="left"/>
        </w:tabs>
        <w:numPr>
          <w:ilvl w:val="0"/>
          <w:numId w:val="55"/>
        </w:numPr>
        <w:rPr>
          <w:rFonts w:ascii="Times New Roman" w:cs="Times New Roman" w:eastAsia="Times New Roman" w:hAnsi="Times New Roman"/>
          <w:sz w:val="14"/>
          <w:szCs w:val="14"/>
          <w:color w:val="auto"/>
        </w:rPr>
      </w:pPr>
    </w:p>
    <w:p>
      <w:pPr>
        <w:ind w:left="2860" w:hanging="876"/>
        <w:spacing w:after="0" w:line="236" w:lineRule="auto"/>
        <w:tabs>
          <w:tab w:leader="none" w:pos="28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“Change in Control” shall mean:</w:t>
      </w:r>
    </w:p>
    <w:p>
      <w:pPr>
        <w:ind w:left="3380" w:hanging="949"/>
        <w:spacing w:after="0" w:line="236" w:lineRule="auto"/>
        <w:tabs>
          <w:tab w:leader="none" w:pos="33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after the Grant Date, in the composition of the Board such that the Incumbent Board ceases for any reason to constitute at</w:t>
      </w:r>
    </w:p>
    <w:p>
      <w:pPr>
        <w:ind w:left="1540"/>
        <w:spacing w:after="0" w:line="23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least a majority of the Board; or</w:t>
      </w:r>
    </w:p>
    <w:p>
      <w:pPr>
        <w:spacing w:after="0" w:line="158" w:lineRule="exact"/>
        <w:rPr>
          <w:sz w:val="20"/>
          <w:szCs w:val="20"/>
          <w:color w:val="auto"/>
        </w:rPr>
      </w:pPr>
    </w:p>
    <w:p>
      <w:pPr>
        <w:jc w:val="both"/>
        <w:ind w:left="1540" w:firstLine="891"/>
        <w:spacing w:after="0" w:line="236" w:lineRule="auto"/>
        <w:tabs>
          <w:tab w:leader="none" w:pos="337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Grant Date a Person (as defined below) other than a Permitted Holder (as defined below) becomes the “Beneficial Owner” (as defined in Rules 13d-3 and 13d- 5 under the Exchange Act), directly or indirectly, of securities of the Company representing in the aggregate thirty percent (30%) or more of the then outstanding Voting Securities of the Company; provided, however, that a Change in Control shall not be deemed to have occurred for purposes of this clause (B) solely as the result of:</w:t>
      </w:r>
    </w:p>
    <w:p>
      <w:pPr>
        <w:spacing w:after="0" w:line="159" w:lineRule="exact"/>
        <w:rPr>
          <w:sz w:val="20"/>
          <w:szCs w:val="20"/>
          <w:color w:val="auto"/>
        </w:rPr>
      </w:pPr>
    </w:p>
    <w:p>
      <w:pPr>
        <w:ind w:left="2440" w:firstLine="885"/>
        <w:spacing w:after="0" w:line="236" w:lineRule="auto"/>
        <w:tabs>
          <w:tab w:leader="none" w:pos="4257"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acquisition directly from the Company, other than an acquisition by virtue of the exercise of a conversion privilege unless the security being so converted itself was acquired directly from the Company,</w:t>
      </w:r>
    </w:p>
    <w:p>
      <w:pPr>
        <w:spacing w:after="0" w:line="156" w:lineRule="exact"/>
        <w:rPr>
          <w:sz w:val="20"/>
          <w:szCs w:val="20"/>
          <w:color w:val="auto"/>
        </w:rPr>
      </w:pPr>
    </w:p>
    <w:p>
      <w:pPr>
        <w:ind w:left="4240" w:hanging="915"/>
        <w:spacing w:after="0"/>
        <w:tabs>
          <w:tab w:leader="none" w:pos="42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repurchase of securities by the Company,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41910</wp:posOffset>
            </wp:positionV>
            <wp:extent cx="620649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06490" cy="43180"/>
                    </a:xfrm>
                    <a:prstGeom prst="rect">
                      <a:avLst/>
                    </a:prstGeom>
                    <a:noFill/>
                  </pic:spPr>
                </pic:pic>
              </a:graphicData>
            </a:graphic>
          </wp:anchor>
        </w:drawing>
      </w:r>
    </w:p>
    <w:p>
      <w:pPr>
        <w:sectPr>
          <w:pgSz w:w="11900" w:h="17038" w:orient="portrait"/>
          <w:cols w:equalWidth="0" w:num="1">
            <w:col w:w="10800"/>
          </w:cols>
          <w:pgMar w:left="0" w:top="772" w:right="1099" w:bottom="0" w:gutter="0" w:footer="0" w:header="0"/>
        </w:sectPr>
      </w:pPr>
    </w:p>
    <w:bookmarkStart w:id="68" w:name="page69"/>
    <w:bookmarkEnd w:id="68"/>
    <w:p>
      <w:pPr>
        <w:spacing w:after="0" w:line="200" w:lineRule="exact"/>
        <w:rPr>
          <w:sz w:val="20"/>
          <w:szCs w:val="20"/>
          <w:color w:val="auto"/>
        </w:rPr>
      </w:pPr>
    </w:p>
    <w:p>
      <w:pPr>
        <w:ind w:left="4240" w:hanging="915"/>
        <w:spacing w:after="0"/>
        <w:tabs>
          <w:tab w:leader="none" w:pos="424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acquisition by any employee benefit plan (or related trust) sponsored or maintained by the Company or any entity</w:t>
      </w:r>
    </w:p>
    <w:p>
      <w:pPr>
        <w:spacing w:after="0" w:line="8" w:lineRule="exact"/>
        <w:rPr>
          <w:rFonts w:ascii="Times New Roman" w:cs="Times New Roman" w:eastAsia="Times New Roman" w:hAnsi="Times New Roman"/>
          <w:sz w:val="13"/>
          <w:szCs w:val="13"/>
          <w:color w:val="auto"/>
        </w:rPr>
      </w:pPr>
    </w:p>
    <w:p>
      <w:pPr>
        <w:ind w:left="2440"/>
        <w:spacing w:after="0" w:line="23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controlled by the Company, and</w:t>
      </w:r>
    </w:p>
    <w:p>
      <w:pPr>
        <w:spacing w:after="0" w:line="158" w:lineRule="exact"/>
        <w:rPr>
          <w:sz w:val="20"/>
          <w:szCs w:val="20"/>
          <w:color w:val="auto"/>
        </w:rPr>
      </w:pPr>
    </w:p>
    <w:p>
      <w:pPr>
        <w:ind w:left="2440" w:firstLine="885"/>
        <w:spacing w:after="0" w:line="236" w:lineRule="auto"/>
        <w:tabs>
          <w:tab w:leader="none" w:pos="4257"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acquisition pursuant to a transaction that is excluded from the definition of Corporate Transaction pursuant to approval by the Incumbent Board.</w:t>
      </w:r>
    </w:p>
    <w:p>
      <w:pPr>
        <w:spacing w:after="0" w:line="156" w:lineRule="exact"/>
        <w:rPr>
          <w:sz w:val="20"/>
          <w:szCs w:val="20"/>
          <w:color w:val="auto"/>
        </w:rPr>
      </w:pPr>
    </w:p>
    <w:p>
      <w:pPr>
        <w:ind w:left="2860" w:hanging="876"/>
        <w:spacing w:after="0"/>
        <w:tabs>
          <w:tab w:leader="none" w:pos="28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“Corporate Transaction” shall mean:</w:t>
      </w:r>
    </w:p>
    <w:p>
      <w:pPr>
        <w:spacing w:after="0" w:line="158" w:lineRule="exact"/>
        <w:rPr>
          <w:sz w:val="20"/>
          <w:szCs w:val="20"/>
          <w:color w:val="auto"/>
        </w:rPr>
      </w:pPr>
    </w:p>
    <w:p>
      <w:pPr>
        <w:jc w:val="both"/>
        <w:ind w:left="1540" w:firstLine="891"/>
        <w:spacing w:after="0" w:line="236" w:lineRule="auto"/>
        <w:tabs>
          <w:tab w:leader="none" w:pos="3377"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consummation of a reorganization, merger or consolidation or sale or other disposition of all or substantially all of the assets of the Company, whether directly or indirectly through the sale of any one or more of the Company’s subsidiaries or the assets of such one or more subsidiaries; excluding, however, any such transaction approved by the Incumbent Board (as defined below); or</w:t>
      </w:r>
    </w:p>
    <w:p>
      <w:pPr>
        <w:spacing w:after="0" w:line="156" w:lineRule="exact"/>
        <w:rPr>
          <w:sz w:val="20"/>
          <w:szCs w:val="20"/>
          <w:color w:val="auto"/>
        </w:rPr>
      </w:pPr>
    </w:p>
    <w:p>
      <w:pPr>
        <w:ind w:left="3360" w:hanging="929"/>
        <w:spacing w:after="0"/>
        <w:tabs>
          <w:tab w:leader="none" w:pos="33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liquidation or dissolution of the Company.</w:t>
      </w:r>
    </w:p>
    <w:p>
      <w:pPr>
        <w:spacing w:after="0" w:line="158" w:lineRule="exact"/>
        <w:rPr>
          <w:sz w:val="20"/>
          <w:szCs w:val="20"/>
          <w:color w:val="auto"/>
        </w:rPr>
      </w:pPr>
    </w:p>
    <w:p>
      <w:pPr>
        <w:jc w:val="both"/>
        <w:ind w:left="1080" w:firstLine="904"/>
        <w:spacing w:after="0" w:line="236" w:lineRule="auto"/>
        <w:tabs>
          <w:tab w:leader="none" w:pos="2869"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“Incumbent Board” shall mean the individuals who, as of the Grant Date, constitute the entire Board together with any individual(s) who becomes a member of the Board subsequent to the Grant Date, whose election, or nomination for election by the Company’s stockholders, was approved by a vote of at least a majority of those individuals who are members of the Board and who were also members of the then-Incumbent Board (or deemed to be such pursuant to this proviso); provided, however, that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shall not be so considered as a member of the Incumbent Board.</w:t>
      </w:r>
    </w:p>
    <w:p>
      <w:pPr>
        <w:jc w:val="both"/>
        <w:ind w:left="1080" w:firstLine="904"/>
        <w:spacing w:after="0" w:line="236" w:lineRule="auto"/>
        <w:tabs>
          <w:tab w:leader="none" w:pos="2869" w:val="left"/>
        </w:tabs>
        <w:numPr>
          <w:ilvl w:val="1"/>
          <w:numId w:val="65"/>
        </w:numPr>
        <w:rPr>
          <w:rFonts w:ascii="Times New Roman" w:cs="Times New Roman" w:eastAsia="Times New Roman" w:hAnsi="Times New Roman"/>
          <w:sz w:val="14"/>
          <w:szCs w:val="14"/>
          <w:color w:val="auto"/>
        </w:rPr>
      </w:pPr>
    </w:p>
    <w:p>
      <w:pPr>
        <w:jc w:val="both"/>
        <w:ind w:left="1080" w:firstLine="904"/>
        <w:spacing w:after="0" w:line="246" w:lineRule="auto"/>
        <w:tabs>
          <w:tab w:leader="none" w:pos="2878"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“Participant” in a Change in Control or a Corporate Transaction shall mean any Person who, after such Change in Control or Corporate Transaction either (a) is or controls any Person whose acquisition or control of securities of the Company gives rise to the Change in Control pursuant to Section II.C. (e)(ii)(B) above, or (b) is or controls any Permitted Holder as of the effective date of such Change in Control or Corporate Transaction but was not or did not control such Permitted Holder as of the date hereof.</w:t>
      </w:r>
    </w:p>
    <w:p>
      <w:pPr>
        <w:spacing w:after="0" w:line="1" w:lineRule="exact"/>
        <w:rPr>
          <w:rFonts w:ascii="Times New Roman" w:cs="Times New Roman" w:eastAsia="Times New Roman" w:hAnsi="Times New Roman"/>
          <w:sz w:val="14"/>
          <w:szCs w:val="14"/>
          <w:color w:val="auto"/>
        </w:rPr>
      </w:pPr>
    </w:p>
    <w:p>
      <w:pPr>
        <w:spacing w:after="0" w:line="1" w:lineRule="exact"/>
        <w:rPr>
          <w:rFonts w:ascii="Times New Roman" w:cs="Times New Roman" w:eastAsia="Times New Roman" w:hAnsi="Times New Roman"/>
          <w:sz w:val="14"/>
          <w:szCs w:val="14"/>
          <w:color w:val="auto"/>
        </w:rPr>
      </w:pPr>
    </w:p>
    <w:p>
      <w:pPr>
        <w:jc w:val="both"/>
        <w:ind w:left="1080" w:firstLine="904"/>
        <w:spacing w:after="0" w:line="236" w:lineRule="auto"/>
        <w:tabs>
          <w:tab w:leader="none" w:pos="2878"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“Permitted Holder” shall mean (a) the Company or any trustee or other fiduciary holding securities under an employee benefit plan of the Company, (b) any Person who, since the Grant Date, has continuously been the Beneficial Owner of not less than thirty percent (30%) of the Voting Securities, or (c) any Person controlled, directly or indirectly, by one or more of the foregoing Persons referred to in the immediately preceding clause (b).</w:t>
      </w:r>
    </w:p>
    <w:p>
      <w:pPr>
        <w:jc w:val="both"/>
        <w:ind w:left="1080" w:firstLine="904"/>
        <w:spacing w:after="0" w:line="236" w:lineRule="auto"/>
        <w:tabs>
          <w:tab w:leader="none" w:pos="2878" w:val="left"/>
        </w:tabs>
        <w:numPr>
          <w:ilvl w:val="1"/>
          <w:numId w:val="65"/>
        </w:numPr>
        <w:rPr>
          <w:rFonts w:ascii="Times New Roman" w:cs="Times New Roman" w:eastAsia="Times New Roman" w:hAnsi="Times New Roman"/>
          <w:sz w:val="14"/>
          <w:szCs w:val="14"/>
          <w:color w:val="auto"/>
        </w:rPr>
      </w:pPr>
    </w:p>
    <w:p>
      <w:pPr>
        <w:jc w:val="both"/>
        <w:ind w:left="1080" w:firstLine="904"/>
        <w:spacing w:after="0" w:line="236" w:lineRule="auto"/>
        <w:tabs>
          <w:tab w:leader="none" w:pos="2879"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“Person” shall mean any individual (whether acting in an individual capacity or in a representative capacity so as to have sole or shared voting power of Voting Securities), entity (including, without limitation, any corporation, charitable or not-for profit corporation, private foundation, partnership, limited liability company, trust (including, without limitation, any private, charitable or split-interest trust), joint venture, association or governmental body) or group (as defined in Section 13(d)(3) or 14(d)(2) of the Exchange Act and the rules and regulations thereunder.</w:t>
      </w:r>
    </w:p>
    <w:p>
      <w:pPr>
        <w:jc w:val="both"/>
        <w:ind w:left="1080" w:firstLine="904"/>
        <w:spacing w:after="0" w:line="236" w:lineRule="auto"/>
        <w:tabs>
          <w:tab w:leader="none" w:pos="2879" w:val="left"/>
        </w:tabs>
        <w:numPr>
          <w:ilvl w:val="1"/>
          <w:numId w:val="65"/>
        </w:numPr>
        <w:rPr>
          <w:rFonts w:ascii="Times New Roman" w:cs="Times New Roman" w:eastAsia="Times New Roman" w:hAnsi="Times New Roman"/>
          <w:sz w:val="14"/>
          <w:szCs w:val="14"/>
          <w:color w:val="auto"/>
        </w:rPr>
      </w:pPr>
    </w:p>
    <w:p>
      <w:pPr>
        <w:jc w:val="both"/>
        <w:ind w:left="1080" w:firstLine="904"/>
        <w:spacing w:after="0" w:line="254" w:lineRule="auto"/>
        <w:tabs>
          <w:tab w:leader="none" w:pos="2880" w:val="left"/>
        </w:tabs>
        <w:numPr>
          <w:ilvl w:val="1"/>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 “Resigns For Good Reason” shall mean the termination by Optionee of Optionee’s Services or election not to continue to provide such Services for Good Reason. The term “Good Reason” shall mean in the case of an employee, (A) a material, adverse change in the Optionee’s authority, duties or responsibilities;</w:t>
      </w:r>
    </w:p>
    <w:p>
      <w:pPr>
        <w:ind w:left="1300" w:hanging="211"/>
        <w:spacing w:after="0"/>
        <w:tabs>
          <w:tab w:leader="none" w:pos="13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material, adverse change in the authority, duties or responsibilities of the Optionee’s supervisor (including, for example, requiring the Optionee to report to another officer,</w:t>
      </w:r>
    </w:p>
    <w:p>
      <w:pPr>
        <w:ind w:right="3760" w:firstLine="1109"/>
        <w:spacing w:after="0"/>
        <w:rPr>
          <w:sz w:val="20"/>
          <w:szCs w:val="20"/>
          <w:color w:val="auto"/>
        </w:rPr>
      </w:pPr>
      <w:r>
        <w:rPr>
          <w:rFonts w:ascii="Times New Roman" w:cs="Times New Roman" w:eastAsia="Times New Roman" w:hAnsi="Times New Roman"/>
          <w:sz w:val="14"/>
          <w:szCs w:val="14"/>
          <w:color w:val="auto"/>
        </w:rPr>
        <w:t>instead of the Board); (C) a material reduction in the Optionee’s base salary or a material reduction in the</w:t>
      </w:r>
    </w:p>
    <w:p>
      <w:pPr>
        <w:spacing w:after="0" w:line="291"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41910</wp:posOffset>
            </wp:positionV>
            <wp:extent cx="620649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06490" cy="43180"/>
                    </a:xfrm>
                    <a:prstGeom prst="rect">
                      <a:avLst/>
                    </a:prstGeom>
                    <a:noFill/>
                  </pic:spPr>
                </pic:pic>
              </a:graphicData>
            </a:graphic>
          </wp:anchor>
        </w:drawing>
      </w:r>
    </w:p>
    <w:p>
      <w:pPr>
        <w:sectPr>
          <w:pgSz w:w="11900" w:h="17038" w:orient="portrait"/>
          <w:cols w:equalWidth="0" w:num="1">
            <w:col w:w="10800"/>
          </w:cols>
          <w:pgMar w:left="0" w:top="456" w:right="1099" w:bottom="0" w:gutter="0" w:footer="0" w:header="0"/>
        </w:sectPr>
      </w:pPr>
    </w:p>
    <w:bookmarkStart w:id="69" w:name="page70"/>
    <w:bookmarkEnd w:id="69"/>
    <w:p>
      <w:pPr>
        <w:spacing w:after="0" w:line="200" w:lineRule="exact"/>
        <w:rPr>
          <w:sz w:val="20"/>
          <w:szCs w:val="20"/>
          <w:color w:val="auto"/>
        </w:rPr>
      </w:pPr>
    </w:p>
    <w:p>
      <w:pPr>
        <w:ind w:firstLine="1109"/>
        <w:spacing w:after="0" w:line="237" w:lineRule="auto"/>
        <w:rPr>
          <w:sz w:val="20"/>
          <w:szCs w:val="20"/>
          <w:color w:val="auto"/>
        </w:rPr>
      </w:pPr>
      <w:r>
        <w:rPr>
          <w:rFonts w:ascii="Times New Roman" w:cs="Times New Roman" w:eastAsia="Times New Roman" w:hAnsi="Times New Roman"/>
          <w:sz w:val="14"/>
          <w:szCs w:val="14"/>
          <w:color w:val="auto"/>
        </w:rPr>
        <w:t>Optionee’s bonus opportunity, equity compensation or other material component of overall compensation; (D) a material reduction in Optionee’s indemnification rights, directors and officers insurance coverage, (E) a relocation of the Optionee’s principal place of employment by more than ten (10) miles; or (F) the employer’s material breach of the Optionee’s employment agreement; provided, however, that Optionee shall give written notice to the Company or the successor entity of any events giving that would constitute Good Reason within ninety (90) days of date on which such facts or events arise, the Company or such successor shall have not less than thirty (30) days’ opportunity to cure, and Optionee shall terminate his or her employment not later than thirty (30) days of the failure of the Company or such successor to timely cure.</w:t>
      </w:r>
    </w:p>
    <w:p>
      <w:pPr>
        <w:spacing w:after="0" w:line="153" w:lineRule="exact"/>
        <w:rPr>
          <w:sz w:val="20"/>
          <w:szCs w:val="20"/>
          <w:color w:val="auto"/>
        </w:rPr>
      </w:pPr>
    </w:p>
    <w:p>
      <w:pPr>
        <w:ind w:left="2880" w:hanging="896"/>
        <w:spacing w:after="0"/>
        <w:tabs>
          <w:tab w:leader="none" w:pos="28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Services shall mean Optionee’s services as an employee of the Company, its subsidiaries or any successor.</w:t>
      </w:r>
    </w:p>
    <w:p>
      <w:pPr>
        <w:spacing w:after="0" w:line="158" w:lineRule="exact"/>
        <w:rPr>
          <w:sz w:val="20"/>
          <w:szCs w:val="20"/>
          <w:color w:val="auto"/>
        </w:rPr>
      </w:pPr>
    </w:p>
    <w:p>
      <w:pPr>
        <w:jc w:val="both"/>
        <w:ind w:left="1080" w:firstLine="904"/>
        <w:spacing w:after="0" w:line="236" w:lineRule="auto"/>
        <w:tabs>
          <w:tab w:leader="none" w:pos="2887"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“Terminated without Cause” shall mean the termination of the Optionee’s employment with the Company or any successor Person (including the failure to renew, extend or continue, as applicable) for any reason other than Cause. The term “Cause” shall mean: (A) the repeated failure or refusal of Optionee to perform the duties or render the services consistent with Optionee’s title and position or in the case of a consultant, pursuant to consultant’s agreement or agreed scope of services, which failure is not cured within thirty (30) days after written notice is delivered to Optionee; (B) fraud, embezzlement or other theft; (C) conviction of, or plea of guilty or nolo contendere to, a felony or gross misdemeanor involving moral turpitude; (D) intentional or gross misconduct or neglect that causes harm to the Company or its successor; (E) substance abuse that affects the Optionee’s performance; or (F) violation of the Company’s “International Anti-Discrimination, Anti-Harassment and Anti-Bullying Policy and Complaint and Investigation Procedures,” as the same may be amended from time to time.</w:t>
      </w:r>
    </w:p>
    <w:p>
      <w:pPr>
        <w:jc w:val="both"/>
        <w:ind w:left="1080" w:firstLine="904"/>
        <w:spacing w:after="0" w:line="236" w:lineRule="auto"/>
        <w:tabs>
          <w:tab w:leader="none" w:pos="2887" w:val="left"/>
        </w:tabs>
        <w:numPr>
          <w:ilvl w:val="1"/>
          <w:numId w:val="68"/>
        </w:numPr>
        <w:rPr>
          <w:rFonts w:ascii="Times New Roman" w:cs="Times New Roman" w:eastAsia="Times New Roman" w:hAnsi="Times New Roman"/>
          <w:sz w:val="14"/>
          <w:szCs w:val="14"/>
          <w:color w:val="auto"/>
        </w:rPr>
      </w:pPr>
    </w:p>
    <w:p>
      <w:pPr>
        <w:jc w:val="both"/>
        <w:ind w:left="1080" w:firstLine="904"/>
        <w:spacing w:after="0" w:line="236" w:lineRule="auto"/>
        <w:tabs>
          <w:tab w:leader="none" w:pos="2878"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“Voting Securities” shall mean all securities of a corporation having the right under ordinary circumstances to vote in an election of the board of directors of such corporation, or other interests having comparable rights to elect managers or fiduciary persons or boards in non-corporate entities. As of the date hereof, the Voting Securities of the Company includes the shares of Class B Common Stock of the Company.</w:t>
      </w:r>
    </w:p>
    <w:p>
      <w:pPr>
        <w:jc w:val="both"/>
        <w:ind w:left="1080" w:firstLine="904"/>
        <w:spacing w:after="0" w:line="236" w:lineRule="auto"/>
        <w:tabs>
          <w:tab w:leader="none" w:pos="2878" w:val="left"/>
        </w:tabs>
        <w:numPr>
          <w:ilvl w:val="1"/>
          <w:numId w:val="68"/>
        </w:numPr>
        <w:rPr>
          <w:rFonts w:ascii="Times New Roman" w:cs="Times New Roman" w:eastAsia="Times New Roman" w:hAnsi="Times New Roman"/>
          <w:sz w:val="14"/>
          <w:szCs w:val="14"/>
          <w:color w:val="auto"/>
        </w:rPr>
      </w:pPr>
    </w:p>
    <w:p>
      <w:pPr>
        <w:ind w:left="10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w:t>
      </w:r>
      <w:r>
        <w:rPr>
          <w:rFonts w:ascii="Times New Roman" w:cs="Times New Roman" w:eastAsia="Times New Roman" w:hAnsi="Times New Roman"/>
          <w:sz w:val="13"/>
          <w:szCs w:val="13"/>
          <w:u w:val="single" w:color="auto"/>
          <w:color w:val="auto"/>
        </w:rPr>
        <w:t>Exercise of Option.</w:t>
      </w:r>
    </w:p>
    <w:p>
      <w:pPr>
        <w:jc w:val="both"/>
        <w:ind w:left="1080" w:firstLine="456"/>
        <w:spacing w:after="0" w:line="236" w:lineRule="auto"/>
        <w:tabs>
          <w:tab w:leader="none" w:pos="1995"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 to Exercise</w:t>
      </w:r>
      <w:r>
        <w:rPr>
          <w:rFonts w:ascii="Times New Roman" w:cs="Times New Roman" w:eastAsia="Times New Roman" w:hAnsi="Times New Roman"/>
          <w:sz w:val="14"/>
          <w:szCs w:val="14"/>
          <w:color w:val="auto"/>
        </w:rPr>
        <w:t>. This Option is exercisable during its term in accordance with the Vesting Schedule set out in the Notice of Grant and the applicable provisions of the Plan and this Option Agreement. Notwithstanding the above, upon termination of the Optionee’s Service for Cause, any unexercised Option Shares shall be immediately forfeited and neither the Optionee nor any of the Optionee’s successors, heirs, assigns or personal representatives shall thereafter have any further rights or interests in such Option Shares.</w:t>
      </w:r>
    </w:p>
    <w:p>
      <w:pPr>
        <w:jc w:val="both"/>
        <w:ind w:left="1080" w:firstLine="456"/>
        <w:spacing w:after="0" w:line="236" w:lineRule="auto"/>
        <w:tabs>
          <w:tab w:leader="none" w:pos="1995" w:val="left"/>
        </w:tabs>
        <w:numPr>
          <w:ilvl w:val="0"/>
          <w:numId w:val="69"/>
        </w:numPr>
        <w:rPr>
          <w:rFonts w:ascii="Times New Roman" w:cs="Times New Roman" w:eastAsia="Times New Roman" w:hAnsi="Times New Roman"/>
          <w:sz w:val="14"/>
          <w:szCs w:val="14"/>
          <w:color w:val="auto"/>
        </w:rPr>
      </w:pPr>
    </w:p>
    <w:p>
      <w:pPr>
        <w:jc w:val="both"/>
        <w:ind w:left="1080" w:firstLine="456"/>
        <w:spacing w:after="0" w:line="236" w:lineRule="auto"/>
        <w:tabs>
          <w:tab w:leader="none" w:pos="2003"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Method of Exercise</w:t>
      </w:r>
      <w:r>
        <w:rPr>
          <w:rFonts w:ascii="Times New Roman" w:cs="Times New Roman" w:eastAsia="Times New Roman" w:hAnsi="Times New Roman"/>
          <w:sz w:val="14"/>
          <w:szCs w:val="14"/>
          <w:color w:val="auto"/>
        </w:rPr>
        <w:t>. Subject to the terms of this section, this Option is exercisable by delivery to the Company of an exercise notice in substantially the form attached hereto as Exhibit A, or such other form as the Board may approve (the “Exercise Notice”), which shall state the election to exercise the Option, the number of Shares in respect of which the Option is being exercised (the “Exercised Shares”), and such other representations and agreements as may be required by the Company pursuant to the provisions of the Plan. The Exercise Notice shall be accompanied by payment of the aggregate Exercise Price as to all Exercised Shares, pursuant to Part II(D)(c) of this Option Agreement. This Option shall be deemed to be exercised upon receipt by the Company of such fully executed Exercise Notice accompanied by such aggregate Exercise Price. It is understood that this Option shall not be exercisable by the method of Permitted Cashless Exercise.</w:t>
      </w:r>
    </w:p>
    <w:p>
      <w:pPr>
        <w:jc w:val="both"/>
        <w:ind w:left="1080" w:firstLine="456"/>
        <w:spacing w:after="0" w:line="236" w:lineRule="auto"/>
        <w:tabs>
          <w:tab w:leader="none" w:pos="2003" w:val="left"/>
        </w:tabs>
        <w:numPr>
          <w:ilvl w:val="0"/>
          <w:numId w:val="69"/>
        </w:numPr>
        <w:rPr>
          <w:rFonts w:ascii="Times New Roman" w:cs="Times New Roman" w:eastAsia="Times New Roman" w:hAnsi="Times New Roman"/>
          <w:sz w:val="14"/>
          <w:szCs w:val="14"/>
          <w:color w:val="auto"/>
        </w:rPr>
      </w:pPr>
    </w:p>
    <w:p>
      <w:pPr>
        <w:ind w:left="1080" w:firstLine="894"/>
        <w:spacing w:after="0" w:line="27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No Shares shall be issued pursuant to the exercise of this Option unless such issuance and exercise complies with Applicable Laws. Assuming such compliance, for income tax purposes the Exercised Shares shall be considered transferred to the Optionee on the date the Option is exercised with respect to such Exercised Shares.</w:t>
      </w:r>
    </w:p>
    <w:p>
      <w:pPr>
        <w:jc w:val="center"/>
        <w:ind w:right="-107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41910</wp:posOffset>
            </wp:positionV>
            <wp:extent cx="620649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06490" cy="43180"/>
                    </a:xfrm>
                    <a:prstGeom prst="rect">
                      <a:avLst/>
                    </a:prstGeom>
                    <a:noFill/>
                  </pic:spPr>
                </pic:pic>
              </a:graphicData>
            </a:graphic>
          </wp:anchor>
        </w:drawing>
      </w:r>
    </w:p>
    <w:p>
      <w:pPr>
        <w:sectPr>
          <w:pgSz w:w="11900" w:h="17038" w:orient="portrait"/>
          <w:cols w:equalWidth="0" w:num="1">
            <w:col w:w="10800"/>
          </w:cols>
          <w:pgMar w:left="0" w:top="772" w:right="1099" w:bottom="0" w:gutter="0" w:footer="0" w:header="0"/>
        </w:sectPr>
      </w:pPr>
    </w:p>
    <w:bookmarkStart w:id="70" w:name="page71"/>
    <w:bookmarkEnd w:id="70"/>
    <w:p>
      <w:pPr>
        <w:spacing w:after="0" w:line="200" w:lineRule="exact"/>
        <w:rPr>
          <w:sz w:val="20"/>
          <w:szCs w:val="20"/>
          <w:color w:val="auto"/>
        </w:rPr>
      </w:pPr>
    </w:p>
    <w:p>
      <w:pPr>
        <w:ind w:left="1080" w:firstLine="456"/>
        <w:spacing w:after="0" w:line="236" w:lineRule="auto"/>
        <w:tabs>
          <w:tab w:leader="none" w:pos="1995"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Method of Payment and Consideration</w:t>
      </w:r>
      <w:r>
        <w:rPr>
          <w:rFonts w:ascii="Times New Roman" w:cs="Times New Roman" w:eastAsia="Times New Roman" w:hAnsi="Times New Roman"/>
          <w:sz w:val="14"/>
          <w:szCs w:val="14"/>
          <w:color w:val="auto"/>
        </w:rPr>
        <w:t>. Payment of the aggregate Exercise Price shall be by any method permitted under the Plan by the payment or transfer of any Consideration permitted under the Plan.</w:t>
      </w:r>
    </w:p>
    <w:p>
      <w:pPr>
        <w:ind w:left="1080" w:firstLine="456"/>
        <w:spacing w:after="0" w:line="236" w:lineRule="auto"/>
        <w:tabs>
          <w:tab w:leader="none" w:pos="1995" w:val="left"/>
        </w:tabs>
        <w:numPr>
          <w:ilvl w:val="1"/>
          <w:numId w:val="70"/>
        </w:numPr>
        <w:rPr>
          <w:rFonts w:ascii="Times New Roman" w:cs="Times New Roman" w:eastAsia="Times New Roman" w:hAnsi="Times New Roman"/>
          <w:sz w:val="14"/>
          <w:szCs w:val="14"/>
          <w:color w:val="auto"/>
        </w:rPr>
      </w:pPr>
    </w:p>
    <w:p>
      <w:pPr>
        <w:ind w:left="10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w:t>
      </w:r>
      <w:r>
        <w:rPr>
          <w:rFonts w:ascii="Times New Roman" w:cs="Times New Roman" w:eastAsia="Times New Roman" w:hAnsi="Times New Roman"/>
          <w:sz w:val="13"/>
          <w:szCs w:val="13"/>
          <w:u w:val="single" w:color="auto"/>
          <w:color w:val="auto"/>
        </w:rPr>
        <w:t>Non-Transferability of Option.</w:t>
      </w:r>
    </w:p>
    <w:p>
      <w:pPr>
        <w:ind w:firstLine="1556"/>
        <w:spacing w:after="0" w:line="237" w:lineRule="auto"/>
        <w:rPr>
          <w:sz w:val="20"/>
          <w:szCs w:val="20"/>
          <w:color w:val="auto"/>
        </w:rPr>
      </w:pPr>
      <w:r>
        <w:rPr>
          <w:rFonts w:ascii="Times New Roman" w:cs="Times New Roman" w:eastAsia="Times New Roman" w:hAnsi="Times New Roman"/>
          <w:sz w:val="14"/>
          <w:szCs w:val="14"/>
          <w:color w:val="auto"/>
        </w:rPr>
        <w:t>This Option may not be transferred in any manner other than by will or by the laws of descent or distribution and may be exercised during the lifetime of the Optionee only by the Optionee; provided, however, if the Option granted to Optionee herein is an NSO, the Optionee, may, by delivering written notice to the Company, in a form satisfactory to the Company, designate a third party who, in the event of the death of the Optionee or otherwise, will thereafter be entitled to exercise this Option. The terms of the Plan and this Option Agreement shall be binding upon the executors, administrators, heirs, successors and assigns of the Optionee.</w:t>
      </w:r>
    </w:p>
    <w:p>
      <w:pPr>
        <w:spacing w:after="0" w:line="153" w:lineRule="exact"/>
        <w:rPr>
          <w:sz w:val="20"/>
          <w:szCs w:val="20"/>
          <w:color w:val="auto"/>
        </w:rPr>
      </w:pPr>
    </w:p>
    <w:p>
      <w:pPr>
        <w:ind w:left="1560" w:hanging="471"/>
        <w:spacing w:after="0"/>
        <w:tabs>
          <w:tab w:leader="none" w:pos="15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Period; Term of Option.</w:t>
      </w:r>
    </w:p>
    <w:p>
      <w:pPr>
        <w:ind w:left="1560" w:hanging="471"/>
        <w:spacing w:after="0"/>
        <w:tabs>
          <w:tab w:leader="none" w:pos="1560" w:val="left"/>
        </w:tabs>
        <w:numPr>
          <w:ilvl w:val="0"/>
          <w:numId w:val="71"/>
        </w:numPr>
        <w:rPr>
          <w:rFonts w:ascii="Times New Roman" w:cs="Times New Roman" w:eastAsia="Times New Roman" w:hAnsi="Times New Roman"/>
          <w:sz w:val="14"/>
          <w:szCs w:val="14"/>
          <w:color w:val="auto"/>
        </w:rPr>
      </w:pPr>
    </w:p>
    <w:p>
      <w:pPr>
        <w:jc w:val="both"/>
        <w:ind w:left="1080" w:firstLine="456"/>
        <w:spacing w:after="0" w:line="236" w:lineRule="auto"/>
        <w:tabs>
          <w:tab w:leader="none" w:pos="1995"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This Option may be exercised for three months after Optionee ceases to be employed by the Company, to the extent this Option was exercisable on the date Optionee ceases to be an employee, as the case may be, of the Company. Upon the death or Disability of the Optionee, this Option may be exercised for twelve months after Optionee ceases to be an employee, of the Company, to the extent this Option was exercisable on the date Optionee ceases to be an employee. In no event, however, shall this Option be exercised later than the Term/Expiration Date set out in the Notice of Grant.</w:t>
      </w:r>
    </w:p>
    <w:p>
      <w:pPr>
        <w:jc w:val="both"/>
        <w:ind w:left="1080" w:firstLine="456"/>
        <w:spacing w:after="0" w:line="236" w:lineRule="auto"/>
        <w:tabs>
          <w:tab w:leader="none" w:pos="1995" w:val="left"/>
        </w:tabs>
        <w:numPr>
          <w:ilvl w:val="1"/>
          <w:numId w:val="71"/>
        </w:numPr>
        <w:rPr>
          <w:rFonts w:ascii="Times New Roman" w:cs="Times New Roman" w:eastAsia="Times New Roman" w:hAnsi="Times New Roman"/>
          <w:sz w:val="14"/>
          <w:szCs w:val="14"/>
          <w:color w:val="auto"/>
        </w:rPr>
      </w:pPr>
    </w:p>
    <w:p>
      <w:pPr>
        <w:jc w:val="both"/>
        <w:ind w:left="1080" w:firstLine="456"/>
        <w:spacing w:after="0" w:line="236" w:lineRule="auto"/>
        <w:tabs>
          <w:tab w:leader="none" w:pos="2003"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Extension of Termination Date</w:t>
      </w:r>
      <w:r>
        <w:rPr>
          <w:rFonts w:ascii="Times New Roman" w:cs="Times New Roman" w:eastAsia="Times New Roman" w:hAnsi="Times New Roman"/>
          <w:sz w:val="14"/>
          <w:szCs w:val="14"/>
          <w:color w:val="auto"/>
        </w:rPr>
        <w:t>. If following the termination of the Optionee for any reason the exercise of the Option is prohibited because the exercise of the Option would violate the registration requirements under the Securities Act or any other state or federal securities law or the rules of any securities exchange or interdealer quotation system, then the expiration of the Option shall be tolled until the date that is thirty (30) days after the end of the period during which the exercise of the Option would be in violation of such registration or other securities requirements.</w:t>
      </w:r>
    </w:p>
    <w:p>
      <w:pPr>
        <w:jc w:val="both"/>
        <w:ind w:left="1080" w:firstLine="456"/>
        <w:spacing w:after="0" w:line="236" w:lineRule="auto"/>
        <w:tabs>
          <w:tab w:leader="none" w:pos="2003" w:val="left"/>
        </w:tabs>
        <w:numPr>
          <w:ilvl w:val="1"/>
          <w:numId w:val="71"/>
        </w:numPr>
        <w:rPr>
          <w:rFonts w:ascii="Times New Roman" w:cs="Times New Roman" w:eastAsia="Times New Roman" w:hAnsi="Times New Roman"/>
          <w:sz w:val="14"/>
          <w:szCs w:val="14"/>
          <w:color w:val="auto"/>
        </w:rPr>
      </w:pPr>
    </w:p>
    <w:p>
      <w:pPr>
        <w:ind w:left="1580" w:hanging="491"/>
        <w:spacing w:after="0" w:line="236" w:lineRule="auto"/>
        <w:tabs>
          <w:tab w:leader="none" w:pos="15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Tax Obligations.</w:t>
      </w:r>
    </w:p>
    <w:p>
      <w:pPr>
        <w:jc w:val="both"/>
        <w:ind w:left="1080" w:firstLine="456"/>
        <w:spacing w:after="0" w:line="236" w:lineRule="auto"/>
        <w:tabs>
          <w:tab w:leader="none" w:pos="1995"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Withholding Taxes</w:t>
      </w:r>
      <w:r>
        <w:rPr>
          <w:rFonts w:ascii="Times New Roman" w:cs="Times New Roman" w:eastAsia="Times New Roman" w:hAnsi="Times New Roman"/>
          <w:sz w:val="14"/>
          <w:szCs w:val="14"/>
          <w:color w:val="auto"/>
        </w:rPr>
        <w:t>. Optionee agrees to make appropriate arrangements with the Company (or the Parent or Subsidiary employing or retaining Optionee) for the satisfaction of all Federal, state, local and/or foreign income and employment tax withholding requirements applicable to the Option exercise as provided in the Plan (including, without limitation, the withholding of Shares otherwise issuable upon exercise of the applicable Option). Optionee acknowledges and agrees that the Company may refuse to honor the exercise and refuse to deliver Shares if such withholding amounts are not delivered (either in cash, or by withholding of Shares otherwise issuable upon exercise of the applicable Option or through such other method of satisfaction as may be provided under the Plan) at the time of exercise. Notwithstanding any action the Company takes with respect to any or all income tax, social insurance, payroll tax, or other tax- related withholding (“Tax-Related Items”), the ultimate liability for all Tax-Related Items is and remains the Optionee’s responsibility and the Company: (i) makes no representations or undertakings regarding the treatment of any Tax-Related Items in connection with the grant, vesting, or exercise of the Option or the subsequent sale of any shares acquired on exercise; and (ii) does not commit to structure the Option to reduce or eliminate the Optionee’s liability for Tax-Related Items.</w:t>
      </w:r>
    </w:p>
    <w:p>
      <w:pPr>
        <w:jc w:val="both"/>
        <w:ind w:left="1080" w:firstLine="456"/>
        <w:spacing w:after="0" w:line="236" w:lineRule="auto"/>
        <w:tabs>
          <w:tab w:leader="none" w:pos="1995" w:val="left"/>
        </w:tabs>
        <w:numPr>
          <w:ilvl w:val="0"/>
          <w:numId w:val="72"/>
        </w:numPr>
        <w:rPr>
          <w:rFonts w:ascii="Times New Roman" w:cs="Times New Roman" w:eastAsia="Times New Roman" w:hAnsi="Times New Roman"/>
          <w:sz w:val="14"/>
          <w:szCs w:val="14"/>
          <w:color w:val="auto"/>
        </w:rPr>
      </w:pPr>
    </w:p>
    <w:p>
      <w:pPr>
        <w:ind w:left="2020" w:hanging="484"/>
        <w:spacing w:after="0" w:line="236" w:lineRule="auto"/>
        <w:tabs>
          <w:tab w:leader="none" w:pos="20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of Disqualifying Disposition of ISO Shares</w:t>
      </w:r>
      <w:r>
        <w:rPr>
          <w:rFonts w:ascii="Times New Roman" w:cs="Times New Roman" w:eastAsia="Times New Roman" w:hAnsi="Times New Roman"/>
          <w:sz w:val="14"/>
          <w:szCs w:val="14"/>
          <w:color w:val="auto"/>
        </w:rPr>
        <w:t>. If the Option granted to Optionee herein</w:t>
      </w:r>
    </w:p>
    <w:p>
      <w:pPr>
        <w:jc w:val="center"/>
        <w:ind w:right="-107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41910</wp:posOffset>
            </wp:positionV>
            <wp:extent cx="620649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06490" cy="43180"/>
                    </a:xfrm>
                    <a:prstGeom prst="rect">
                      <a:avLst/>
                    </a:prstGeom>
                    <a:noFill/>
                  </pic:spPr>
                </pic:pic>
              </a:graphicData>
            </a:graphic>
          </wp:anchor>
        </w:drawing>
      </w:r>
    </w:p>
    <w:p>
      <w:pPr>
        <w:sectPr>
          <w:pgSz w:w="11900" w:h="17038" w:orient="portrait"/>
          <w:cols w:equalWidth="0" w:num="1">
            <w:col w:w="10800"/>
          </w:cols>
          <w:pgMar w:left="0" w:top="297" w:right="1099" w:bottom="0" w:gutter="0" w:footer="0" w:header="0"/>
        </w:sectPr>
      </w:pPr>
    </w:p>
    <w:bookmarkStart w:id="71" w:name="page72"/>
    <w:bookmarkEnd w:id="71"/>
    <w:p>
      <w:pPr>
        <w:spacing w:after="0" w:line="2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is an ISO, and if Optionee sells or otherwise disposes of any of the Shares acquired pursuant to the ISO on or before the later of (1) the date two years after the Date of Grant, or</w:t>
      </w:r>
    </w:p>
    <w:p>
      <w:pPr>
        <w:spacing w:after="0" w:line="24" w:lineRule="exact"/>
        <w:rPr>
          <w:sz w:val="20"/>
          <w:szCs w:val="20"/>
          <w:color w:val="auto"/>
        </w:rPr>
      </w:pPr>
    </w:p>
    <w:p>
      <w:pPr>
        <w:ind w:left="1080" w:firstLine="9"/>
        <w:spacing w:after="0" w:line="236" w:lineRule="auto"/>
        <w:tabs>
          <w:tab w:leader="none" w:pos="1277"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one year after the date of exercise, the Optionee shall immediately notify the Company in writing of such disposition. Optionee agrees that Optionee may be subject to income tax withholding by the Company on the compensation income recognized by the Optionee.</w:t>
      </w:r>
    </w:p>
    <w:p>
      <w:pPr>
        <w:ind w:left="1080" w:firstLine="9"/>
        <w:spacing w:after="0" w:line="236" w:lineRule="auto"/>
        <w:tabs>
          <w:tab w:leader="none" w:pos="1277" w:val="left"/>
        </w:tabs>
        <w:numPr>
          <w:ilvl w:val="0"/>
          <w:numId w:val="73"/>
        </w:numPr>
        <w:rPr>
          <w:rFonts w:ascii="Times New Roman" w:cs="Times New Roman" w:eastAsia="Times New Roman" w:hAnsi="Times New Roman"/>
          <w:sz w:val="14"/>
          <w:szCs w:val="14"/>
          <w:color w:val="auto"/>
        </w:rPr>
      </w:pPr>
    </w:p>
    <w:p>
      <w:pPr>
        <w:ind w:left="1580" w:hanging="491"/>
        <w:spacing w:after="0" w:line="236" w:lineRule="auto"/>
        <w:tabs>
          <w:tab w:leader="none" w:pos="15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 Governing Law.</w:t>
      </w:r>
    </w:p>
    <w:p>
      <w:pPr>
        <w:ind w:left="1580" w:hanging="491"/>
        <w:spacing w:after="0" w:line="236" w:lineRule="auto"/>
        <w:tabs>
          <w:tab w:leader="none" w:pos="1580" w:val="left"/>
        </w:tabs>
        <w:numPr>
          <w:ilvl w:val="0"/>
          <w:numId w:val="74"/>
        </w:numPr>
        <w:rPr>
          <w:rFonts w:ascii="Times New Roman" w:cs="Times New Roman" w:eastAsia="Times New Roman" w:hAnsi="Times New Roman"/>
          <w:sz w:val="14"/>
          <w:szCs w:val="14"/>
          <w:color w:val="auto"/>
        </w:rPr>
      </w:pPr>
    </w:p>
    <w:p>
      <w:pPr>
        <w:jc w:val="both"/>
        <w:ind w:left="1080" w:firstLine="447"/>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Plan and this Option Agreement constitute the entire agreement of the parties with respect to the subject matter hereof and supersede in their entirety all prior undertakings and agreements of the Company and Optionee with respect to the subject matter hereof, and may not be modified adversely to the Optionee’s interest except by means of a writing signed by the Company and Optionee. This agreement is governed by the internal substantive laws, but not the choice of law rules, of the State of Nevada.</w:t>
      </w:r>
    </w:p>
    <w:p>
      <w:pPr>
        <w:jc w:val="both"/>
        <w:ind w:left="1080" w:firstLine="447"/>
        <w:spacing w:after="0" w:line="254" w:lineRule="auto"/>
        <w:rPr>
          <w:rFonts w:ascii="Times New Roman" w:cs="Times New Roman" w:eastAsia="Times New Roman" w:hAnsi="Times New Roman"/>
          <w:sz w:val="14"/>
          <w:szCs w:val="14"/>
          <w:color w:val="auto"/>
        </w:rPr>
      </w:pPr>
    </w:p>
    <w:p>
      <w:pPr>
        <w:ind w:left="1540" w:hanging="451"/>
        <w:spacing w:after="0" w:line="236" w:lineRule="auto"/>
        <w:tabs>
          <w:tab w:leader="none" w:pos="15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GUARANTEE OF CONTINUED EMPLOYMENT OR RETENTION.</w:t>
      </w:r>
    </w:p>
    <w:p>
      <w:pPr>
        <w:ind w:left="1540"/>
        <w:spacing w:after="0"/>
        <w:rPr>
          <w:sz w:val="20"/>
          <w:szCs w:val="20"/>
          <w:color w:val="auto"/>
        </w:rPr>
      </w:pPr>
      <w:r>
        <w:rPr>
          <w:rFonts w:ascii="Times New Roman" w:cs="Times New Roman" w:eastAsia="Times New Roman" w:hAnsi="Times New Roman"/>
          <w:sz w:val="13"/>
          <w:szCs w:val="13"/>
          <w:color w:val="auto"/>
        </w:rPr>
        <w:t>OPTIONEE ACKNOWLEDGES AND AGREES THAT THE VESTING OF SHARES PURSUANT TO THE VESTING SCHEDULE HEREOF IS EARNED ONLY</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BY CONTINUING EMPLOYMENT OR RETENTION AT THE WILL OF THE COMPANY (AND NOT THROUGH THE ACT OF BEING HIRED, BEING GRANTED AN</w:t>
      </w:r>
    </w:p>
    <w:p>
      <w:pPr>
        <w:spacing w:after="0" w:line="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OPTION OR PURCHASING SHARES HEREUNDER). OPTIONEE FURTHER ACKNOWLEDGES AND AGREES THAT THIS OPTION AGREEMENT, THE</w:t>
      </w:r>
    </w:p>
    <w:p>
      <w:pPr>
        <w:ind w:left="1080"/>
        <w:spacing w:after="0" w:line="236" w:lineRule="auto"/>
        <w:rPr>
          <w:sz w:val="20"/>
          <w:szCs w:val="20"/>
          <w:color w:val="auto"/>
        </w:rPr>
      </w:pPr>
      <w:r>
        <w:rPr>
          <w:rFonts w:ascii="Times New Roman" w:cs="Times New Roman" w:eastAsia="Times New Roman" w:hAnsi="Times New Roman"/>
          <w:sz w:val="14"/>
          <w:szCs w:val="14"/>
          <w:color w:val="auto"/>
        </w:rPr>
        <w:t>TRANSACTIONS CONTEMPLATED HEREUNDER AND THE VESTING SCHEDULE SET FORTH HEREIN DO NOT CONSTITUTE AN EXPRESS OR IMPLIED</w:t>
      </w:r>
    </w:p>
    <w:p>
      <w:pPr>
        <w:ind w:left="1080"/>
        <w:spacing w:after="0"/>
        <w:tabs>
          <w:tab w:leader="none" w:pos="1980" w:val="left"/>
          <w:tab w:leader="none" w:pos="2920" w:val="left"/>
          <w:tab w:leader="none" w:pos="4000" w:val="left"/>
          <w:tab w:leader="none" w:pos="4620" w:val="left"/>
          <w:tab w:leader="none" w:pos="5500" w:val="left"/>
        </w:tabs>
        <w:rPr>
          <w:sz w:val="20"/>
          <w:szCs w:val="20"/>
          <w:color w:val="auto"/>
        </w:rPr>
      </w:pPr>
      <w:r>
        <w:rPr>
          <w:rFonts w:ascii="Times New Roman" w:cs="Times New Roman" w:eastAsia="Times New Roman" w:hAnsi="Times New Roman"/>
          <w:sz w:val="14"/>
          <w:szCs w:val="14"/>
          <w:color w:val="auto"/>
        </w:rPr>
        <w:t>PROMISE OF</w:t>
        <w:tab/>
        <w:t>CONTINUED</w:t>
        <w:tab/>
        <w:t>ENGAGEMENT</w:t>
        <w:tab/>
        <w:t>AS  AN</w:t>
        <w:tab/>
        <w:t>EMPLOYEE</w:t>
      </w:r>
      <w:r>
        <w:rPr>
          <w:sz w:val="20"/>
          <w:szCs w:val="20"/>
          <w:color w:val="auto"/>
        </w:rPr>
        <w:tab/>
      </w:r>
      <w:r>
        <w:rPr>
          <w:rFonts w:ascii="Times New Roman" w:cs="Times New Roman" w:eastAsia="Times New Roman" w:hAnsi="Times New Roman"/>
          <w:sz w:val="13"/>
          <w:szCs w:val="13"/>
          <w:color w:val="auto"/>
        </w:rPr>
        <w:t>OF THE COMPANY FOR THE VESTING PERIOD, FOR ANY PERIOD, OR AT ALL, AND</w:t>
      </w:r>
    </w:p>
    <w:p>
      <w:pPr>
        <w:ind w:left="1080"/>
        <w:spacing w:after="0" w:line="236" w:lineRule="auto"/>
        <w:rPr>
          <w:sz w:val="20"/>
          <w:szCs w:val="20"/>
          <w:color w:val="auto"/>
        </w:rPr>
      </w:pPr>
      <w:r>
        <w:rPr>
          <w:rFonts w:ascii="Times New Roman" w:cs="Times New Roman" w:eastAsia="Times New Roman" w:hAnsi="Times New Roman"/>
          <w:sz w:val="14"/>
          <w:szCs w:val="14"/>
          <w:color w:val="auto"/>
        </w:rPr>
        <w:t>SHALL NOT INTERFERE WITH OPTIONEE’S RIGHT OR THE COMPANY’S RIGHT TO TERMINATE OPTIONEE’S EMPLOYMENT AT ANY TIME, WITH OR</w:t>
      </w:r>
    </w:p>
    <w:p>
      <w:pPr>
        <w:ind w:left="1080"/>
        <w:spacing w:after="0" w:line="236" w:lineRule="auto"/>
        <w:rPr>
          <w:sz w:val="20"/>
          <w:szCs w:val="20"/>
          <w:color w:val="auto"/>
        </w:rPr>
      </w:pPr>
      <w:r>
        <w:rPr>
          <w:rFonts w:ascii="Times New Roman" w:cs="Times New Roman" w:eastAsia="Times New Roman" w:hAnsi="Times New Roman"/>
          <w:sz w:val="14"/>
          <w:szCs w:val="14"/>
          <w:color w:val="auto"/>
        </w:rPr>
        <w:t>WITHOUT CAUSE.</w:t>
      </w:r>
    </w:p>
    <w:p>
      <w:pPr>
        <w:spacing w:after="0" w:line="159" w:lineRule="exact"/>
        <w:rPr>
          <w:sz w:val="20"/>
          <w:szCs w:val="20"/>
          <w:color w:val="auto"/>
        </w:rPr>
      </w:pPr>
    </w:p>
    <w:p>
      <w:pPr>
        <w:ind w:firstLine="1556"/>
        <w:spacing w:after="0" w:line="237" w:lineRule="auto"/>
        <w:rPr>
          <w:sz w:val="20"/>
          <w:szCs w:val="20"/>
          <w:color w:val="auto"/>
        </w:rPr>
      </w:pPr>
      <w:r>
        <w:rPr>
          <w:rFonts w:ascii="Times New Roman" w:cs="Times New Roman" w:eastAsia="Times New Roman" w:hAnsi="Times New Roman"/>
          <w:sz w:val="14"/>
          <w:szCs w:val="14"/>
          <w:color w:val="auto"/>
        </w:rPr>
        <w:t>By your signature and the signature of the Company’s representative below, you and the Company agree that this Option is granted under and governed by the terms and conditions of the Plan and this Option Agreement. By your signature below, you acknowledge and agree that you have reviewed the Plan and this Option Agreement in their entirety, have had an opportunity to obtain the advice of counsel prior to executing this Option Agreement and fully understand all provisions of the Plan and this Option Agreement. Optionee hereby agrees to accept as binding, conclusive and final all decisions or interpretations of the Board upon any questions relating to the Plan and this Option Agreement. Optionee further agrees to notify the Company upon any change in the residence address indicated below.</w:t>
      </w:r>
    </w:p>
    <w:p>
      <w:pPr>
        <w:spacing w:after="0" w:line="311"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200" w:lineRule="exact"/>
        <w:rPr>
          <w:sz w:val="20"/>
          <w:szCs w:val="20"/>
          <w:color w:val="auto"/>
        </w:rPr>
      </w:pPr>
    </w:p>
    <w:p>
      <w:pPr>
        <w:spacing w:after="0" w:line="252"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41910</wp:posOffset>
            </wp:positionV>
            <wp:extent cx="620649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06490" cy="43180"/>
                    </a:xfrm>
                    <a:prstGeom prst="rect">
                      <a:avLst/>
                    </a:prstGeom>
                    <a:noFill/>
                  </pic:spPr>
                </pic:pic>
              </a:graphicData>
            </a:graphic>
          </wp:anchor>
        </w:drawing>
      </w:r>
    </w:p>
    <w:p>
      <w:pPr>
        <w:sectPr>
          <w:pgSz w:w="11900" w:h="17038" w:orient="portrait"/>
          <w:cols w:equalWidth="0" w:num="1">
            <w:col w:w="10800"/>
          </w:cols>
          <w:pgMar w:left="0" w:top="124" w:right="1099" w:bottom="0" w:gutter="0" w:footer="0" w:header="0"/>
        </w:sectPr>
      </w:pPr>
    </w:p>
    <w:bookmarkStart w:id="72" w:name="page73"/>
    <w:bookmarkEnd w:id="72"/>
    <w:p>
      <w:pPr>
        <w:ind w:right="20" w:firstLine="447"/>
        <w:spacing w:after="0" w:line="236" w:lineRule="auto"/>
        <w:rPr>
          <w:sz w:val="20"/>
          <w:szCs w:val="20"/>
          <w:color w:val="auto"/>
        </w:rPr>
      </w:pPr>
      <w:r>
        <w:rPr>
          <w:rFonts w:ascii="Times New Roman" w:cs="Times New Roman" w:eastAsia="Times New Roman" w:hAnsi="Times New Roman"/>
          <w:sz w:val="14"/>
          <w:szCs w:val="14"/>
          <w:color w:val="auto"/>
        </w:rPr>
        <w:t>This Option Agreement may be executed by facsimile and in counterparts, each of which shall be deemed an original, but both of which shall constitute one and the same instrument.</w:t>
      </w:r>
    </w:p>
    <w:tbl>
      <w:tblPr>
        <w:tblLayout w:type="fixed"/>
        <w:tblInd w:w="0" w:type="dxa"/>
        <w:tblCellMar>
          <w:top w:w="0" w:type="dxa"/>
          <w:left w:w="0" w:type="dxa"/>
          <w:bottom w:w="0" w:type="dxa"/>
          <w:right w:w="0" w:type="dxa"/>
        </w:tblCellMar>
      </w:tblPr>
      <w:tr>
        <w:trPr>
          <w:trHeight w:val="144"/>
        </w:trPr>
        <w:tc>
          <w:tcPr>
            <w:tcW w:w="3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8"/>
        </w:trPr>
        <w:tc>
          <w:tcPr>
            <w:tcW w:w="36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36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OPTIONEE:</w:t>
            </w:r>
          </w:p>
        </w:tc>
        <w:tc>
          <w:tcPr>
            <w:tcW w:w="6100" w:type="dxa"/>
            <w:vAlign w:val="bottom"/>
            <w:gridSpan w:val="2"/>
          </w:tcPr>
          <w:p>
            <w:pPr>
              <w:ind w:left="780"/>
              <w:spacing w:after="0" w:line="159" w:lineRule="exact"/>
              <w:rPr>
                <w:sz w:val="20"/>
                <w:szCs w:val="20"/>
                <w:color w:val="auto"/>
              </w:rPr>
            </w:pPr>
            <w:r>
              <w:rPr>
                <w:rFonts w:ascii="Times New Roman" w:cs="Times New Roman" w:eastAsia="Times New Roman" w:hAnsi="Times New Roman"/>
                <w:sz w:val="14"/>
                <w:szCs w:val="14"/>
                <w:color w:val="auto"/>
              </w:rPr>
              <w:t>READING INTERNATIONAL, INC.</w:t>
            </w:r>
          </w:p>
        </w:tc>
        <w:tc>
          <w:tcPr>
            <w:tcW w:w="20" w:type="dxa"/>
            <w:vAlign w:val="bottom"/>
          </w:tcPr>
          <w:p>
            <w:pPr>
              <w:spacing w:after="0"/>
              <w:rPr>
                <w:sz w:val="13"/>
                <w:szCs w:val="13"/>
                <w:color w:val="auto"/>
              </w:rPr>
            </w:pPr>
          </w:p>
        </w:tc>
      </w:tr>
      <w:tr>
        <w:trPr>
          <w:trHeight w:val="158"/>
        </w:trPr>
        <w:tc>
          <w:tcPr>
            <w:tcW w:w="36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36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3620" w:type="dxa"/>
            <w:vAlign w:val="bottom"/>
          </w:tcPr>
          <w:p>
            <w:pPr>
              <w:spacing w:after="0"/>
              <w:rPr>
                <w:sz w:val="14"/>
                <w:szCs w:val="14"/>
                <w:color w:val="auto"/>
              </w:rPr>
            </w:pPr>
          </w:p>
        </w:tc>
        <w:tc>
          <w:tcPr>
            <w:tcW w:w="6100" w:type="dxa"/>
            <w:vAlign w:val="bottom"/>
            <w:gridSpan w:val="2"/>
          </w:tcPr>
          <w:p>
            <w:pPr>
              <w:ind w:left="780"/>
              <w:spacing w:after="0" w:line="159" w:lineRule="exact"/>
              <w:rPr>
                <w:sz w:val="20"/>
                <w:szCs w:val="20"/>
                <w:color w:val="auto"/>
              </w:rPr>
            </w:pPr>
            <w:r>
              <w:rPr>
                <w:rFonts w:ascii="Times New Roman" w:cs="Times New Roman" w:eastAsia="Times New Roman" w:hAnsi="Times New Roman"/>
                <w:sz w:val="14"/>
                <w:szCs w:val="14"/>
                <w:color w:val="auto"/>
              </w:rPr>
              <w:t>By:</w:t>
            </w:r>
          </w:p>
        </w:tc>
        <w:tc>
          <w:tcPr>
            <w:tcW w:w="20" w:type="dxa"/>
            <w:vAlign w:val="bottom"/>
          </w:tcPr>
          <w:p>
            <w:pPr>
              <w:spacing w:after="0"/>
              <w:rPr>
                <w:sz w:val="14"/>
                <w:szCs w:val="14"/>
                <w:color w:val="auto"/>
              </w:rPr>
            </w:pPr>
          </w:p>
        </w:tc>
      </w:tr>
      <w:tr>
        <w:trPr>
          <w:trHeight w:val="148"/>
        </w:trPr>
        <w:tc>
          <w:tcPr>
            <w:tcW w:w="362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Signature</w:t>
            </w:r>
          </w:p>
        </w:tc>
        <w:tc>
          <w:tcPr>
            <w:tcW w:w="1640" w:type="dxa"/>
            <w:vAlign w:val="bottom"/>
          </w:tcPr>
          <w:p>
            <w:pPr>
              <w:ind w:left="780"/>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44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3620" w:type="dxa"/>
            <w:vAlign w:val="bottom"/>
          </w:tcPr>
          <w:p>
            <w:pPr>
              <w:spacing w:after="0"/>
              <w:rPr>
                <w:sz w:val="12"/>
                <w:szCs w:val="12"/>
                <w:color w:val="auto"/>
              </w:rPr>
            </w:pPr>
          </w:p>
        </w:tc>
        <w:tc>
          <w:tcPr>
            <w:tcW w:w="1640" w:type="dxa"/>
            <w:vAlign w:val="bottom"/>
          </w:tcPr>
          <w:p>
            <w:pPr>
              <w:ind w:left="780"/>
              <w:spacing w:after="0" w:line="144" w:lineRule="exact"/>
              <w:rPr>
                <w:sz w:val="20"/>
                <w:szCs w:val="20"/>
                <w:color w:val="auto"/>
              </w:rPr>
            </w:pPr>
            <w:r>
              <w:rPr>
                <w:rFonts w:ascii="Times New Roman" w:cs="Times New Roman" w:eastAsia="Times New Roman" w:hAnsi="Times New Roman"/>
                <w:sz w:val="14"/>
                <w:szCs w:val="14"/>
                <w:color w:val="auto"/>
              </w:rPr>
              <w:t>Title</w:t>
            </w:r>
          </w:p>
        </w:tc>
        <w:tc>
          <w:tcPr>
            <w:tcW w:w="44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3620" w:type="dxa"/>
            <w:vAlign w:val="bottom"/>
            <w:tcBorders>
              <w:bottom w:val="single" w:sz="8" w:color="auto"/>
            </w:tcBorders>
          </w:tcPr>
          <w:p>
            <w:pPr>
              <w:spacing w:after="0"/>
              <w:rPr>
                <w:sz w:val="13"/>
                <w:szCs w:val="13"/>
                <w:color w:val="auto"/>
              </w:rPr>
            </w:pPr>
          </w:p>
        </w:tc>
        <w:tc>
          <w:tcPr>
            <w:tcW w:w="16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6"/>
        </w:trPr>
        <w:tc>
          <w:tcPr>
            <w:tcW w:w="362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Print Name</w:t>
            </w:r>
          </w:p>
        </w:tc>
        <w:tc>
          <w:tcPr>
            <w:tcW w:w="164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8"/>
        </w:trPr>
        <w:tc>
          <w:tcPr>
            <w:tcW w:w="36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36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36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36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36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36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6"/>
        </w:trPr>
        <w:tc>
          <w:tcPr>
            <w:tcW w:w="3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66"/>
        </w:trPr>
        <w:tc>
          <w:tcPr>
            <w:tcW w:w="3620" w:type="dxa"/>
            <w:vAlign w:val="bottom"/>
          </w:tcPr>
          <w:p>
            <w:pPr>
              <w:spacing w:after="0"/>
              <w:rPr>
                <w:sz w:val="24"/>
                <w:szCs w:val="24"/>
                <w:color w:val="auto"/>
              </w:rPr>
            </w:pPr>
          </w:p>
        </w:tc>
        <w:tc>
          <w:tcPr>
            <w:tcW w:w="164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8</w:t>
            </w: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
        </w:trPr>
        <w:tc>
          <w:tcPr>
            <w:tcW w:w="362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44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6166485</wp:posOffset>
            </wp:positionH>
            <wp:positionV relativeFrom="paragraph">
              <wp:posOffset>-29845</wp:posOffset>
            </wp:positionV>
            <wp:extent cx="31115"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-29845</wp:posOffset>
            </wp:positionV>
            <wp:extent cx="31115"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740"/>
          </w:cols>
          <w:pgMar w:left="1080" w:top="614" w:right="1079" w:bottom="1440" w:gutter="0" w:footer="0" w:header="0"/>
        </w:sectPr>
      </w:pPr>
    </w:p>
    <w:bookmarkStart w:id="73" w:name="page74"/>
    <w:bookmarkEnd w:id="73"/>
    <w:p>
      <w:pPr>
        <w:jc w:val="center"/>
        <w:ind w:right="-1079"/>
        <w:spacing w:after="0"/>
        <w:rPr>
          <w:sz w:val="20"/>
          <w:szCs w:val="20"/>
          <w:color w:val="auto"/>
        </w:rPr>
      </w:pPr>
      <w:r>
        <w:rPr>
          <w:rFonts w:ascii="Times New Roman" w:cs="Times New Roman" w:eastAsia="Times New Roman" w:hAnsi="Times New Roman"/>
          <w:sz w:val="14"/>
          <w:szCs w:val="14"/>
          <w:u w:val="single" w:color="auto"/>
          <w:color w:val="auto"/>
        </w:rPr>
        <w:t>EXHIBIT A</w:t>
      </w:r>
    </w:p>
    <w:p>
      <w:pPr>
        <w:spacing w:after="0" w:line="156"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4"/>
          <w:szCs w:val="14"/>
          <w:color w:val="auto"/>
        </w:rPr>
        <w:t>NOTICE OF EXERCISE OF OPTION TO</w:t>
      </w:r>
    </w:p>
    <w:p>
      <w:pPr>
        <w:jc w:val="center"/>
        <w:ind w:right="-1079"/>
        <w:spacing w:after="0" w:line="236" w:lineRule="auto"/>
        <w:rPr>
          <w:sz w:val="20"/>
          <w:szCs w:val="20"/>
          <w:color w:val="auto"/>
        </w:rPr>
      </w:pPr>
      <w:r>
        <w:rPr>
          <w:rFonts w:ascii="Times New Roman" w:cs="Times New Roman" w:eastAsia="Times New Roman" w:hAnsi="Times New Roman"/>
          <w:sz w:val="14"/>
          <w:szCs w:val="14"/>
          <w:color w:val="auto"/>
        </w:rPr>
        <w:t>PURCHASE COMMON STOCK</w:t>
      </w:r>
    </w:p>
    <w:p>
      <w:pPr>
        <w:spacing w:after="0" w:line="15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1183005</wp:posOffset>
            </wp:positionH>
            <wp:positionV relativeFrom="paragraph">
              <wp:posOffset>-16510</wp:posOffset>
            </wp:positionV>
            <wp:extent cx="229743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97430" cy="5715"/>
                    </a:xfrm>
                    <a:prstGeom prst="rect">
                      <a:avLst/>
                    </a:prstGeom>
                    <a:noFill/>
                  </pic:spPr>
                </pic:pic>
              </a:graphicData>
            </a:graphic>
          </wp:anchor>
        </w:drawing>
      </w:r>
    </w:p>
    <w:p>
      <w:pPr>
        <w:ind w:left="1080"/>
        <w:spacing w:after="0" w:line="236" w:lineRule="auto"/>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1195070</wp:posOffset>
            </wp:positionH>
            <wp:positionV relativeFrom="paragraph">
              <wp:posOffset>-16510</wp:posOffset>
            </wp:positionV>
            <wp:extent cx="229743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97430" cy="5715"/>
                    </a:xfrm>
                    <a:prstGeom prst="rect">
                      <a:avLst/>
                    </a:prstGeom>
                    <a:noFill/>
                  </pic:spPr>
                </pic:pic>
              </a:graphicData>
            </a:graphic>
          </wp:anchor>
        </w:drawing>
      </w:r>
    </w:p>
    <w:p>
      <w:pPr>
        <w:ind w:left="1080"/>
        <w:spacing w:after="0" w:line="236" w:lineRule="auto"/>
        <w:rPr>
          <w:sz w:val="20"/>
          <w:szCs w:val="20"/>
          <w:color w:val="auto"/>
        </w:rPr>
      </w:pPr>
      <w:r>
        <w:rPr>
          <w:rFonts w:ascii="Times New Roman" w:cs="Times New Roman" w:eastAsia="Times New Roman" w:hAnsi="Times New Roman"/>
          <w:sz w:val="14"/>
          <w:szCs w:val="14"/>
          <w:color w:val="auto"/>
        </w:rPr>
        <w:t>SSN:</w:t>
      </w:r>
    </w:p>
    <w:p>
      <w:pPr>
        <w:ind w:left="1080"/>
        <w:spacing w:after="0" w:line="236" w:lineRule="auto"/>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-16510</wp:posOffset>
            </wp:positionV>
            <wp:extent cx="229743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97430" cy="5715"/>
                    </a:xfrm>
                    <a:prstGeom prst="rect">
                      <a:avLst/>
                    </a:prstGeom>
                    <a:noFill/>
                  </pic:spPr>
                </pic:pic>
              </a:graphicData>
            </a:graphic>
          </wp:anchor>
        </w:drawing>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Reading International, Inc.</w:t>
      </w:r>
    </w:p>
    <w:p>
      <w:pPr>
        <w:ind w:left="1080"/>
        <w:spacing w:after="0" w:line="236" w:lineRule="auto"/>
        <w:rPr>
          <w:sz w:val="20"/>
          <w:szCs w:val="20"/>
          <w:color w:val="auto"/>
        </w:rPr>
      </w:pPr>
      <w:r>
        <w:rPr>
          <w:rFonts w:ascii="Times New Roman" w:cs="Times New Roman" w:eastAsia="Times New Roman" w:hAnsi="Times New Roman"/>
          <w:sz w:val="14"/>
          <w:szCs w:val="14"/>
          <w:color w:val="auto"/>
        </w:rPr>
        <w:t>Attention: Corporate Secretary</w:t>
      </w:r>
    </w:p>
    <w:p>
      <w:pPr>
        <w:ind w:left="1080"/>
        <w:spacing w:after="0" w:line="236" w:lineRule="auto"/>
        <w:rPr>
          <w:sz w:val="20"/>
          <w:szCs w:val="20"/>
          <w:color w:val="auto"/>
        </w:rPr>
      </w:pPr>
      <w:r>
        <w:rPr>
          <w:rFonts w:ascii="Times New Roman" w:cs="Times New Roman" w:eastAsia="Times New Roman" w:hAnsi="Times New Roman"/>
          <w:sz w:val="14"/>
          <w:szCs w:val="14"/>
          <w:color w:val="auto"/>
        </w:rPr>
        <w:t>189 Second Avenue, Suite 2S</w:t>
      </w:r>
    </w:p>
    <w:p>
      <w:pPr>
        <w:ind w:left="1080"/>
        <w:spacing w:after="0" w:line="236" w:lineRule="auto"/>
        <w:rPr>
          <w:sz w:val="20"/>
          <w:szCs w:val="20"/>
          <w:color w:val="auto"/>
        </w:rPr>
      </w:pPr>
      <w:r>
        <w:rPr>
          <w:rFonts w:ascii="Times New Roman" w:cs="Times New Roman" w:eastAsia="Times New Roman" w:hAnsi="Times New Roman"/>
          <w:sz w:val="14"/>
          <w:szCs w:val="14"/>
          <w:color w:val="auto"/>
        </w:rPr>
        <w:t>New York, New York 10003</w:t>
      </w:r>
    </w:p>
    <w:tbl>
      <w:tblPr>
        <w:tblLayout w:type="fixed"/>
        <w:tblInd w:w="1080" w:type="dxa"/>
        <w:tblCellMar>
          <w:top w:w="0" w:type="dxa"/>
          <w:left w:w="0" w:type="dxa"/>
          <w:bottom w:w="0" w:type="dxa"/>
          <w:right w:w="0" w:type="dxa"/>
        </w:tblCellMar>
      </w:tblPr>
      <w:tr>
        <w:trPr>
          <w:trHeight w:val="144"/>
        </w:trPr>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Re:</w:t>
            </w:r>
          </w:p>
        </w:tc>
        <w:tc>
          <w:tcPr>
            <w:tcW w:w="2700" w:type="dxa"/>
            <w:vAlign w:val="bottom"/>
            <w:gridSpan w:val="3"/>
          </w:tcPr>
          <w:p>
            <w:pPr>
              <w:ind w:left="320"/>
              <w:spacing w:after="0" w:line="159" w:lineRule="exact"/>
              <w:rPr>
                <w:sz w:val="20"/>
                <w:szCs w:val="20"/>
                <w:color w:val="auto"/>
              </w:rPr>
            </w:pPr>
            <w:r>
              <w:rPr>
                <w:rFonts w:ascii="Times New Roman" w:cs="Times New Roman" w:eastAsia="Times New Roman" w:hAnsi="Times New Roman"/>
                <w:sz w:val="14"/>
                <w:szCs w:val="14"/>
                <w:color w:val="auto"/>
              </w:rPr>
              <w:t>Exercise of Stock Option</w:t>
            </w:r>
          </w:p>
        </w:tc>
        <w:tc>
          <w:tcPr>
            <w:tcW w:w="156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20" w:type="dxa"/>
            <w:vAlign w:val="bottom"/>
            <w:gridSpan w:val="4"/>
          </w:tcPr>
          <w:p>
            <w:pPr>
              <w:spacing w:after="0" w:line="159" w:lineRule="exact"/>
              <w:rPr>
                <w:sz w:val="20"/>
                <w:szCs w:val="20"/>
                <w:color w:val="auto"/>
              </w:rPr>
            </w:pPr>
            <w:r>
              <w:rPr>
                <w:rFonts w:ascii="Times New Roman" w:cs="Times New Roman" w:eastAsia="Times New Roman" w:hAnsi="Times New Roman"/>
                <w:sz w:val="14"/>
                <w:szCs w:val="14"/>
                <w:color w:val="auto"/>
              </w:rPr>
              <w:t>Ladies and Gentlemen:</w:t>
            </w:r>
          </w:p>
        </w:tc>
        <w:tc>
          <w:tcPr>
            <w:tcW w:w="156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20" w:type="dxa"/>
            <w:vAlign w:val="bottom"/>
          </w:tcPr>
          <w:p>
            <w:pPr>
              <w:spacing w:after="0"/>
              <w:rPr>
                <w:sz w:val="12"/>
                <w:szCs w:val="12"/>
                <w:color w:val="auto"/>
              </w:rPr>
            </w:pPr>
          </w:p>
        </w:tc>
        <w:tc>
          <w:tcPr>
            <w:tcW w:w="2700" w:type="dxa"/>
            <w:vAlign w:val="bottom"/>
            <w:gridSpan w:val="3"/>
          </w:tcPr>
          <w:p>
            <w:pPr>
              <w:ind w:left="140"/>
              <w:spacing w:after="0" w:line="145" w:lineRule="exact"/>
              <w:rPr>
                <w:sz w:val="20"/>
                <w:szCs w:val="20"/>
                <w:color w:val="auto"/>
              </w:rPr>
            </w:pPr>
            <w:r>
              <w:rPr>
                <w:rFonts w:ascii="Times New Roman" w:cs="Times New Roman" w:eastAsia="Times New Roman" w:hAnsi="Times New Roman"/>
                <w:sz w:val="14"/>
                <w:szCs w:val="14"/>
                <w:color w:val="auto"/>
              </w:rPr>
              <w:t>I elect to purchase</w:t>
            </w:r>
          </w:p>
        </w:tc>
        <w:tc>
          <w:tcPr>
            <w:tcW w:w="67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Non-Voting Common Stock of Reading International, Inc. (the “Company”) pursuant to the Reading</w:t>
            </w: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140" w:type="dxa"/>
            <w:vAlign w:val="bottom"/>
            <w:vMerge w:val="restart"/>
          </w:tcPr>
          <w:p>
            <w:pPr>
              <w:jc w:val="right"/>
              <w:spacing w:after="0" w:line="159" w:lineRule="exact"/>
              <w:rPr>
                <w:sz w:val="20"/>
                <w:szCs w:val="20"/>
                <w:color w:val="auto"/>
              </w:rPr>
            </w:pPr>
            <w:r>
              <w:rPr>
                <w:rFonts w:ascii="Times New Roman" w:cs="Times New Roman" w:eastAsia="Times New Roman" w:hAnsi="Times New Roman"/>
                <w:sz w:val="14"/>
                <w:szCs w:val="14"/>
                <w:color w:val="auto"/>
                <w:w w:val="97"/>
              </w:rPr>
              <w:t>and the Reading International, Inc. 2020 Stock Incentive Plan, as amended. The purchase will</w:t>
            </w:r>
          </w:p>
        </w:tc>
        <w:tc>
          <w:tcPr>
            <w:tcW w:w="0" w:type="dxa"/>
            <w:vAlign w:val="bottom"/>
          </w:tcPr>
          <w:p>
            <w:pPr>
              <w:spacing w:after="0" w:line="20" w:lineRule="exact"/>
              <w:rPr>
                <w:sz w:val="1"/>
                <w:szCs w:val="1"/>
                <w:color w:val="auto"/>
              </w:rPr>
            </w:pPr>
          </w:p>
        </w:tc>
      </w:tr>
      <w:tr>
        <w:trPr>
          <w:trHeight w:val="138"/>
        </w:trPr>
        <w:tc>
          <w:tcPr>
            <w:tcW w:w="272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w w:val="97"/>
              </w:rPr>
              <w:t>International, Inc. Stock Option Agreement dated</w:t>
            </w:r>
          </w:p>
        </w:tc>
        <w:tc>
          <w:tcPr>
            <w:tcW w:w="3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5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take place on the Exercise Date, which will be (i) as soon as practicable following the date this notice and all other necessary forms and payments are received by the Company,</w:t>
      </w:r>
    </w:p>
    <w:p>
      <w:pPr>
        <w:spacing w:after="0" w:line="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unless I specify a later date (not to exceed 30 days following the date of this notice) or (ii) in the case of a Broker-assisted cashless exercise (as indicated below), the date of this</w:t>
      </w:r>
    </w:p>
    <w:p>
      <w:pPr>
        <w:spacing w:after="0" w:line="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notice.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On or before the Exercise Date, I will pay the full exercise price in the form specified below (check one):</w:t>
      </w:r>
    </w:p>
    <w:p>
      <w:pPr>
        <w:spacing w:after="0" w:line="28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7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Cash: by delivering cash to the Company for $_____________.</w:t>
            </w:r>
          </w:p>
        </w:tc>
      </w:tr>
      <w:tr>
        <w:trPr>
          <w:trHeight w:val="152"/>
        </w:trPr>
        <w:tc>
          <w:tcPr>
            <w:tcW w:w="9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60" w:type="dxa"/>
            <w:vAlign w:val="bottom"/>
          </w:tcPr>
          <w:p>
            <w:pPr>
              <w:spacing w:after="0"/>
              <w:rPr>
                <w:sz w:val="13"/>
                <w:szCs w:val="13"/>
                <w:color w:val="auto"/>
              </w:rPr>
            </w:pPr>
          </w:p>
        </w:tc>
      </w:tr>
      <w:tr>
        <w:trPr>
          <w:trHeight w:val="145"/>
        </w:trPr>
        <w:tc>
          <w:tcPr>
            <w:tcW w:w="9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 ]</w:t>
            </w:r>
          </w:p>
        </w:tc>
        <w:tc>
          <w:tcPr>
            <w:tcW w:w="7920" w:type="dxa"/>
            <w:vAlign w:val="bottom"/>
            <w:gridSpan w:val="4"/>
          </w:tcPr>
          <w:p>
            <w:pPr>
              <w:spacing w:after="0" w:line="145" w:lineRule="exact"/>
              <w:rPr>
                <w:sz w:val="20"/>
                <w:szCs w:val="20"/>
                <w:color w:val="auto"/>
              </w:rPr>
            </w:pPr>
            <w:r>
              <w:rPr>
                <w:rFonts w:ascii="Times New Roman" w:cs="Times New Roman" w:eastAsia="Times New Roman" w:hAnsi="Times New Roman"/>
                <w:sz w:val="14"/>
                <w:szCs w:val="14"/>
                <w:color w:val="auto"/>
              </w:rPr>
              <w:t>Check: by delivering a check made payable to the Company for $_____________.</w:t>
            </w:r>
          </w:p>
        </w:tc>
      </w:tr>
      <w:tr>
        <w:trPr>
          <w:trHeight w:val="152"/>
        </w:trPr>
        <w:tc>
          <w:tcPr>
            <w:tcW w:w="9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6660" w:type="dxa"/>
            <w:vAlign w:val="bottom"/>
          </w:tcPr>
          <w:p>
            <w:pPr>
              <w:spacing w:after="0"/>
              <w:rPr>
                <w:sz w:val="13"/>
                <w:szCs w:val="13"/>
                <w:color w:val="auto"/>
              </w:rPr>
            </w:pPr>
          </w:p>
        </w:tc>
      </w:tr>
      <w:tr>
        <w:trPr>
          <w:trHeight w:val="145"/>
        </w:trPr>
        <w:tc>
          <w:tcPr>
            <w:tcW w:w="9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 ]</w:t>
            </w:r>
          </w:p>
        </w:tc>
        <w:tc>
          <w:tcPr>
            <w:tcW w:w="7920" w:type="dxa"/>
            <w:vAlign w:val="bottom"/>
            <w:gridSpan w:val="4"/>
          </w:tcPr>
          <w:p>
            <w:pPr>
              <w:spacing w:after="0" w:line="145" w:lineRule="exact"/>
              <w:rPr>
                <w:sz w:val="20"/>
                <w:szCs w:val="20"/>
                <w:color w:val="auto"/>
              </w:rPr>
            </w:pPr>
            <w:r>
              <w:rPr>
                <w:rFonts w:ascii="Times New Roman" w:cs="Times New Roman" w:eastAsia="Times New Roman" w:hAnsi="Times New Roman"/>
                <w:sz w:val="14"/>
                <w:szCs w:val="14"/>
                <w:color w:val="auto"/>
                <w:w w:val="97"/>
              </w:rPr>
              <w:t>Other Company Shares: by delivering for surrender or delivering of an assignment of other shares of the Company’s Common Stock of the same</w:t>
            </w:r>
          </w:p>
        </w:tc>
      </w:tr>
      <w:tr>
        <w:trPr>
          <w:trHeight w:val="20"/>
        </w:trPr>
        <w:tc>
          <w:tcPr>
            <w:tcW w:w="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bl>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class as the Shares, as provided in the Plan.</w:t>
      </w:r>
    </w:p>
    <w:p>
      <w:pPr>
        <w:spacing w:after="0" w:line="167" w:lineRule="exact"/>
        <w:rPr>
          <w:sz w:val="20"/>
          <w:szCs w:val="20"/>
          <w:color w:val="auto"/>
        </w:rPr>
      </w:pPr>
    </w:p>
    <w:p>
      <w:pPr>
        <w:ind w:left="1980"/>
        <w:spacing w:after="0"/>
        <w:tabs>
          <w:tab w:leader="none" w:pos="2860" w:val="left"/>
        </w:tabs>
        <w:rPr>
          <w:sz w:val="20"/>
          <w:szCs w:val="20"/>
          <w:color w:val="auto"/>
        </w:rPr>
      </w:pP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3"/>
          <w:szCs w:val="13"/>
          <w:u w:val="single" w:color="auto"/>
          <w:color w:val="auto"/>
        </w:rPr>
        <w:t>Net Exercise</w:t>
      </w:r>
      <w:r>
        <w:rPr>
          <w:rFonts w:ascii="Times New Roman" w:cs="Times New Roman" w:eastAsia="Times New Roman" w:hAnsi="Times New Roman"/>
          <w:sz w:val="13"/>
          <w:szCs w:val="13"/>
          <w:color w:val="auto"/>
        </w:rPr>
        <w:t>: as provided in the Plan.</w:t>
      </w:r>
    </w:p>
    <w:p>
      <w:pPr>
        <w:spacing w:after="0" w:line="156" w:lineRule="exact"/>
        <w:rPr>
          <w:sz w:val="20"/>
          <w:szCs w:val="20"/>
          <w:color w:val="auto"/>
        </w:rPr>
      </w:pPr>
    </w:p>
    <w:p>
      <w:pPr>
        <w:ind w:left="1980"/>
        <w:spacing w:after="0"/>
        <w:tabs>
          <w:tab w:leader="none" w:pos="2860" w:val="left"/>
        </w:tabs>
        <w:rPr>
          <w:sz w:val="20"/>
          <w:szCs w:val="20"/>
          <w:color w:val="auto"/>
        </w:rPr>
      </w:pP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3"/>
          <w:szCs w:val="13"/>
          <w:u w:val="single" w:color="auto"/>
          <w:color w:val="auto"/>
        </w:rPr>
        <w:t>Cash From Broker</w:t>
      </w:r>
      <w:r>
        <w:rPr>
          <w:rFonts w:ascii="Times New Roman" w:cs="Times New Roman" w:eastAsia="Times New Roman" w:hAnsi="Times New Roman"/>
          <w:sz w:val="13"/>
          <w:szCs w:val="13"/>
          <w:color w:val="auto"/>
        </w:rPr>
        <w:t>: by delivering the purchase price from __________________, a broker, dealer or other “creditor” as defined by Regulation T</w:t>
      </w:r>
    </w:p>
    <w:p>
      <w:pPr>
        <w:ind w:firstLine="1109"/>
        <w:spacing w:after="0" w:line="237" w:lineRule="auto"/>
        <w:rPr>
          <w:sz w:val="20"/>
          <w:szCs w:val="20"/>
          <w:color w:val="auto"/>
        </w:rPr>
      </w:pPr>
      <w:r>
        <w:rPr>
          <w:rFonts w:ascii="Times New Roman" w:cs="Times New Roman" w:eastAsia="Times New Roman" w:hAnsi="Times New Roman"/>
          <w:sz w:val="14"/>
          <w:szCs w:val="14"/>
          <w:color w:val="auto"/>
        </w:rPr>
        <w:t>issued by the Board of Governors of the Federal Reserve System (the “Broker”). I authorize the Company to issue a stock certificate in the number of shares indicated above in the name of the Broker in accordance with instructions received by the Company from the Broker and to deliver such stock certificate directly to the Broker (or to any other party specified in the instructions from the Broker) upon receiving the exercise price from the Broker.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4"/>
          <w:szCs w:val="14"/>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41910</wp:posOffset>
            </wp:positionV>
            <wp:extent cx="620649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06490" cy="43180"/>
                    </a:xfrm>
                    <a:prstGeom prst="rect">
                      <a:avLst/>
                    </a:prstGeom>
                    <a:noFill/>
                  </pic:spPr>
                </pic:pic>
              </a:graphicData>
            </a:graphic>
          </wp:anchor>
        </w:drawing>
      </w:r>
    </w:p>
    <w:p>
      <w:pPr>
        <w:sectPr>
          <w:pgSz w:w="11900" w:h="16838" w:orient="portrait"/>
          <w:cols w:equalWidth="0" w:num="1">
            <w:col w:w="10800"/>
          </w:cols>
          <w:pgMar w:left="0" w:top="928" w:right="1099"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3"/>
          <w:szCs w:val="13"/>
          <w:color w:val="auto"/>
        </w:rPr>
        <w:t>On or before the Exercise Date, I will pay (or otherwise provide for as provided in the Plan) any applicable tax withholding obligations.</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Please deliver the stock certificate to me (unless I have chosen to pay the purchase price through a broker).</w:t>
      </w:r>
    </w:p>
    <w:p>
      <w:pPr>
        <w:spacing w:after="0" w:line="15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200" w:lineRule="exact"/>
        <w:rPr>
          <w:sz w:val="20"/>
          <w:szCs w:val="20"/>
          <w:color w:val="auto"/>
        </w:rPr>
      </w:pPr>
    </w:p>
    <w:p>
      <w:pPr>
        <w:spacing w:after="0" w:line="27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AGREED TO AND ACCEPTED:</w:t>
      </w:r>
    </w:p>
    <w:p>
      <w:pPr>
        <w:spacing w:after="0" w:line="236" w:lineRule="auto"/>
        <w:rPr>
          <w:sz w:val="20"/>
          <w:szCs w:val="20"/>
          <w:color w:val="auto"/>
        </w:rPr>
      </w:pPr>
      <w:r>
        <w:rPr>
          <w:rFonts w:ascii="Times New Roman" w:cs="Times New Roman" w:eastAsia="Times New Roman" w:hAnsi="Times New Roman"/>
          <w:sz w:val="14"/>
          <w:szCs w:val="14"/>
          <w:color w:val="auto"/>
        </w:rPr>
        <w:t>READING INTERNATIONAL, INC.</w:t>
      </w:r>
    </w:p>
    <w:p>
      <w:pPr>
        <w:spacing w:after="0" w:line="31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_________________</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_________________</w:t>
      </w:r>
    </w:p>
    <w:p>
      <w:pPr>
        <w:spacing w:after="0" w:line="15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3"/>
          <w:szCs w:val="13"/>
          <w:color w:val="auto"/>
        </w:rPr>
        <w:t>_________________</w:t>
      </w:r>
    </w:p>
    <w:p>
      <w:pPr>
        <w:spacing w:after="0" w:line="200" w:lineRule="exact"/>
        <w:rPr>
          <w:sz w:val="20"/>
          <w:szCs w:val="20"/>
          <w:color w:val="auto"/>
        </w:rPr>
      </w:pPr>
    </w:p>
    <w:p>
      <w:pPr>
        <w:spacing w:after="0" w:line="272" w:lineRule="exact"/>
        <w:rPr>
          <w:sz w:val="20"/>
          <w:szCs w:val="20"/>
          <w:color w:val="auto"/>
        </w:rPr>
      </w:pPr>
    </w:p>
    <w:p>
      <w:pPr>
        <w:spacing w:after="0"/>
        <w:tabs>
          <w:tab w:leader="none" w:pos="2180" w:val="left"/>
        </w:tabs>
        <w:rPr>
          <w:sz w:val="20"/>
          <w:szCs w:val="20"/>
          <w:color w:val="auto"/>
        </w:rPr>
      </w:pPr>
      <w:r>
        <w:rPr>
          <w:rFonts w:ascii="Times New Roman" w:cs="Times New Roman" w:eastAsia="Times New Roman" w:hAnsi="Times New Roman"/>
          <w:sz w:val="14"/>
          <w:szCs w:val="14"/>
          <w:color w:val="auto"/>
        </w:rPr>
        <w:t>Number of Option Shares Exercised:</w:t>
      </w:r>
      <w:r>
        <w:rPr>
          <w:sz w:val="20"/>
          <w:szCs w:val="20"/>
          <w:color w:val="auto"/>
        </w:rPr>
        <w:tab/>
      </w:r>
      <w:r>
        <w:rPr>
          <w:rFonts w:ascii="Times New Roman" w:cs="Times New Roman" w:eastAsia="Times New Roman" w:hAnsi="Times New Roman"/>
          <w:sz w:val="13"/>
          <w:szCs w:val="13"/>
          <w:color w:val="auto"/>
        </w:rPr>
        <w:t>_________________</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Option Shares Remaining:  _________________</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_________________</w:t>
      </w:r>
    </w:p>
    <w:p>
      <w:pPr>
        <w:spacing w:after="0" w:line="13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wp:posOffset>
            </wp:positionV>
            <wp:extent cx="620649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06490" cy="43180"/>
                    </a:xfrm>
                    <a:prstGeom prst="rect">
                      <a:avLst/>
                    </a:prstGeom>
                    <a:noFill/>
                  </pic:spPr>
                </pic:pic>
              </a:graphicData>
            </a:graphic>
          </wp:anchor>
        </w:drawing>
      </w:r>
    </w:p>
    <w:p>
      <w:pPr>
        <w:sectPr>
          <w:pgSz w:w="11900" w:h="16838" w:orient="portrait"/>
          <w:cols w:equalWidth="0" w:num="1">
            <w:col w:w="9379"/>
          </w:cols>
          <w:pgMar w:left="1080" w:top="456" w:right="1440" w:bottom="1440" w:gutter="0" w:footer="0" w:header="0"/>
        </w:sectPr>
      </w:pPr>
    </w:p>
    <w:bookmarkStart w:id="75" w:name="page76"/>
    <w:bookmarkEnd w:id="75"/>
    <w:p>
      <w:pPr>
        <w:ind w:left="8820"/>
        <w:spacing w:after="0"/>
        <w:rPr>
          <w:sz w:val="20"/>
          <w:szCs w:val="20"/>
          <w:color w:val="auto"/>
        </w:rPr>
      </w:pPr>
      <w:r>
        <w:rPr>
          <w:rFonts w:ascii="Times New Roman" w:cs="Times New Roman" w:eastAsia="Times New Roman" w:hAnsi="Times New Roman"/>
          <w:sz w:val="11"/>
          <w:szCs w:val="11"/>
          <w:b w:val="1"/>
          <w:bCs w:val="1"/>
          <w:color w:val="auto"/>
        </w:rPr>
        <w:t>EXHIBIT 31.1</w:t>
      </w:r>
    </w:p>
    <w:p>
      <w:pPr>
        <w:spacing w:after="0" w:line="64"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b w:val="1"/>
          <w:bCs w:val="1"/>
          <w:color w:val="auto"/>
        </w:rPr>
        <w:t>﻿</w:t>
      </w:r>
    </w:p>
    <w:p>
      <w:pPr>
        <w:jc w:val="center"/>
        <w:ind w:right="20"/>
        <w:spacing w:after="0" w:line="218" w:lineRule="auto"/>
        <w:rPr>
          <w:sz w:val="20"/>
          <w:szCs w:val="20"/>
          <w:color w:val="auto"/>
        </w:rPr>
      </w:pPr>
      <w:r>
        <w:rPr>
          <w:rFonts w:ascii="Times New Roman" w:cs="Times New Roman" w:eastAsia="Times New Roman" w:hAnsi="Times New Roman"/>
          <w:sz w:val="12"/>
          <w:szCs w:val="12"/>
          <w:b w:val="1"/>
          <w:bCs w:val="1"/>
          <w:color w:val="auto"/>
        </w:rPr>
        <w:t>CERTIFICATION OF PRINCIPAL EXECUTIVE OFFICER</w:t>
      </w:r>
    </w:p>
    <w:p>
      <w:pPr>
        <w:jc w:val="center"/>
        <w:ind w:right="20"/>
        <w:spacing w:after="0" w:line="227" w:lineRule="auto"/>
        <w:rPr>
          <w:sz w:val="20"/>
          <w:szCs w:val="20"/>
          <w:color w:val="auto"/>
        </w:rPr>
      </w:pPr>
      <w:r>
        <w:rPr>
          <w:rFonts w:ascii="Times New Roman" w:cs="Times New Roman" w:eastAsia="Times New Roman" w:hAnsi="Times New Roman"/>
          <w:sz w:val="12"/>
          <w:szCs w:val="12"/>
          <w:b w:val="1"/>
          <w:bCs w:val="1"/>
          <w:color w:val="auto"/>
        </w:rPr>
        <w:t>PURSUANT TO EXCHANGE ACT RULE 13a-14(a)/15d-14(a) AS ADOPTED</w:t>
      </w: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PURSUANT TO SECTION 302 OF THE SARBANES-OXLEY ACT OF 2002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Ellen M. Cotter, certify that:</w:t>
      </w:r>
    </w:p>
    <w:p>
      <w:pPr>
        <w:spacing w:after="0" w:line="114" w:lineRule="exact"/>
        <w:rPr>
          <w:sz w:val="20"/>
          <w:szCs w:val="20"/>
          <w:color w:val="auto"/>
        </w:rPr>
      </w:pPr>
    </w:p>
    <w:p>
      <w:pPr>
        <w:ind w:left="460" w:hanging="228"/>
        <w:spacing w:after="0"/>
        <w:tabs>
          <w:tab w:leader="none" w:pos="46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Reading International, Inc.;</w:t>
      </w:r>
    </w:p>
    <w:p>
      <w:pPr>
        <w:spacing w:after="0" w:line="104" w:lineRule="exact"/>
        <w:rPr>
          <w:rFonts w:ascii="Times New Roman" w:cs="Times New Roman" w:eastAsia="Times New Roman" w:hAnsi="Times New Roman"/>
          <w:sz w:val="12"/>
          <w:szCs w:val="12"/>
          <w:color w:val="auto"/>
        </w:rPr>
      </w:pPr>
    </w:p>
    <w:p>
      <w:pPr>
        <w:ind w:left="460" w:right="20" w:hanging="228"/>
        <w:spacing w:after="0" w:line="266" w:lineRule="auto"/>
        <w:tabs>
          <w:tab w:leader="none" w:pos="46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Times New Roman" w:cs="Times New Roman" w:eastAsia="Times New Roman" w:hAnsi="Times New Roman"/>
          <w:sz w:val="12"/>
          <w:szCs w:val="12"/>
          <w:color w:val="auto"/>
        </w:rPr>
      </w:pPr>
    </w:p>
    <w:p>
      <w:pPr>
        <w:ind w:left="460" w:right="20" w:hanging="228"/>
        <w:spacing w:after="0" w:line="249" w:lineRule="auto"/>
        <w:tabs>
          <w:tab w:leader="none" w:pos="46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Times New Roman" w:cs="Times New Roman" w:eastAsia="Times New Roman" w:hAnsi="Times New Roman"/>
          <w:sz w:val="12"/>
          <w:szCs w:val="12"/>
          <w:color w:val="auto"/>
        </w:rPr>
      </w:pPr>
    </w:p>
    <w:p>
      <w:pPr>
        <w:ind w:left="460" w:hanging="228"/>
        <w:spacing w:after="0"/>
        <w:tabs>
          <w:tab w:leader="none" w:pos="46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w:t>
      </w: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15d-15(e)) and internal control over financial reporting (as defined in Exchange Act Rules 13a-15(f) and 15d-15(f)) for the registrant and have:</w:t>
      </w:r>
    </w:p>
    <w:p>
      <w:pPr>
        <w:spacing w:after="0" w:line="99" w:lineRule="exact"/>
        <w:rPr>
          <w:rFonts w:ascii="Times New Roman" w:cs="Times New Roman" w:eastAsia="Times New Roman" w:hAnsi="Times New Roman"/>
          <w:sz w:val="12"/>
          <w:szCs w:val="12"/>
          <w:color w:val="auto"/>
        </w:rPr>
      </w:pPr>
    </w:p>
    <w:p>
      <w:pPr>
        <w:jc w:val="both"/>
        <w:ind w:left="900" w:right="20" w:hanging="221"/>
        <w:spacing w:after="0" w:line="224" w:lineRule="auto"/>
        <w:tabs>
          <w:tab w:leader="none" w:pos="900" w:val="left"/>
        </w:tabs>
        <w:numPr>
          <w:ilvl w:val="1"/>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900" w:right="20" w:hanging="221"/>
        <w:spacing w:after="0" w:line="216" w:lineRule="auto"/>
        <w:tabs>
          <w:tab w:leader="none" w:pos="900" w:val="left"/>
        </w:tabs>
        <w:numPr>
          <w:ilvl w:val="1"/>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900" w:right="20" w:hanging="221"/>
        <w:spacing w:after="0" w:line="218" w:lineRule="auto"/>
        <w:tabs>
          <w:tab w:leader="none" w:pos="900" w:val="left"/>
        </w:tabs>
        <w:numPr>
          <w:ilvl w:val="1"/>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00" w:right="20" w:hanging="221"/>
        <w:spacing w:after="0" w:line="241" w:lineRule="auto"/>
        <w:tabs>
          <w:tab w:leader="none" w:pos="900" w:val="left"/>
        </w:tabs>
        <w:numPr>
          <w:ilvl w:val="1"/>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90" w:lineRule="exact"/>
        <w:rPr>
          <w:rFonts w:ascii="Times New Roman" w:cs="Times New Roman" w:eastAsia="Times New Roman" w:hAnsi="Times New Roman"/>
          <w:sz w:val="12"/>
          <w:szCs w:val="12"/>
          <w:color w:val="auto"/>
        </w:rPr>
      </w:pPr>
    </w:p>
    <w:p>
      <w:pPr>
        <w:ind w:left="460" w:right="20" w:hanging="228"/>
        <w:spacing w:after="0" w:line="249" w:lineRule="auto"/>
        <w:tabs>
          <w:tab w:leader="none" w:pos="46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sz w:val="20"/>
          <w:szCs w:val="20"/>
          <w:color w:val="auto"/>
        </w:rPr>
      </w:pPr>
    </w:p>
    <w:p>
      <w:pPr>
        <w:ind w:left="900" w:right="20" w:hanging="221"/>
        <w:spacing w:after="0" w:line="230" w:lineRule="auto"/>
        <w:tabs>
          <w:tab w:leader="none" w:pos="90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2"/>
          <w:szCs w:val="12"/>
          <w:color w:val="auto"/>
        </w:rPr>
      </w:pPr>
    </w:p>
    <w:p>
      <w:pPr>
        <w:ind w:left="900" w:hanging="221"/>
        <w:spacing w:after="0"/>
        <w:tabs>
          <w:tab w:leader="none" w:pos="90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140" w:type="dxa"/>
            <w:vAlign w:val="bottom"/>
          </w:tcPr>
          <w:p>
            <w:pPr>
              <w:spacing w:after="0"/>
              <w:rPr>
                <w:sz w:val="12"/>
                <w:szCs w:val="12"/>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 Ellen M. Cotter</w:t>
            </w:r>
          </w:p>
        </w:tc>
      </w:tr>
      <w:tr>
        <w:trPr>
          <w:trHeight w:val="92"/>
        </w:trPr>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Borders>
              <w:top w:val="single" w:sz="8" w:color="auto"/>
            </w:tcBorders>
          </w:tcPr>
          <w:p>
            <w:pPr>
              <w:spacing w:after="0" w:line="92" w:lineRule="exact"/>
              <w:rPr>
                <w:sz w:val="20"/>
                <w:szCs w:val="20"/>
                <w:color w:val="auto"/>
              </w:rPr>
            </w:pPr>
            <w:r>
              <w:rPr>
                <w:rFonts w:ascii="Times New Roman" w:cs="Times New Roman" w:eastAsia="Times New Roman" w:hAnsi="Times New Roman"/>
                <w:sz w:val="10"/>
                <w:szCs w:val="10"/>
                <w:color w:val="auto"/>
              </w:rPr>
              <w:t>Ellen M. Cotter</w:t>
            </w:r>
          </w:p>
        </w:tc>
        <w:tc>
          <w:tcPr>
            <w:tcW w:w="8140" w:type="dxa"/>
            <w:vAlign w:val="bottom"/>
          </w:tcPr>
          <w:p>
            <w:pPr>
              <w:spacing w:after="0"/>
              <w:rPr>
                <w:sz w:val="7"/>
                <w:szCs w:val="7"/>
                <w:color w:val="auto"/>
              </w:rPr>
            </w:pPr>
          </w:p>
        </w:tc>
      </w:tr>
      <w:tr>
        <w:trPr>
          <w:trHeight w:val="127"/>
        </w:trPr>
        <w:tc>
          <w:tcPr>
            <w:tcW w:w="320" w:type="dxa"/>
            <w:vAlign w:val="bottom"/>
          </w:tcPr>
          <w:p>
            <w:pPr>
              <w:spacing w:after="0"/>
              <w:rPr>
                <w:sz w:val="11"/>
                <w:szCs w:val="11"/>
                <w:color w:val="auto"/>
              </w:rPr>
            </w:pPr>
          </w:p>
        </w:tc>
        <w:tc>
          <w:tcPr>
            <w:tcW w:w="9220" w:type="dxa"/>
            <w:vAlign w:val="bottom"/>
            <w:gridSpan w:val="3"/>
          </w:tcPr>
          <w:p>
            <w:pPr>
              <w:ind w:left="140"/>
              <w:spacing w:after="0" w:line="127" w:lineRule="exact"/>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161"/>
        </w:trPr>
        <w:tc>
          <w:tcPr>
            <w:tcW w:w="320" w:type="dxa"/>
            <w:vAlign w:val="bottom"/>
          </w:tcPr>
          <w:p>
            <w:pPr>
              <w:spacing w:after="0"/>
              <w:rPr>
                <w:sz w:val="13"/>
                <w:szCs w:val="13"/>
                <w:color w:val="auto"/>
              </w:rPr>
            </w:pPr>
          </w:p>
        </w:tc>
        <w:tc>
          <w:tcPr>
            <w:tcW w:w="922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November 14, 2025</w:t>
            </w:r>
          </w:p>
        </w:tc>
      </w:tr>
      <w:tr>
        <w:trPr>
          <w:trHeight w:val="140"/>
        </w:trPr>
        <w:tc>
          <w:tcPr>
            <w:tcW w:w="3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81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6038215</wp:posOffset>
            </wp:positionH>
            <wp:positionV relativeFrom="paragraph">
              <wp:posOffset>-29845</wp:posOffset>
            </wp:positionV>
            <wp:extent cx="31115"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-29845</wp:posOffset>
            </wp:positionV>
            <wp:extent cx="31115"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p>
      <w:pPr>
        <w:sectPr>
          <w:pgSz w:w="11900" w:h="16838" w:orient="portrait"/>
          <w:cols w:equalWidth="0" w:num="1">
            <w:col w:w="9540"/>
          </w:cols>
          <w:pgMar w:left="1180" w:top="120" w:right="1179" w:bottom="1440" w:gutter="0" w:footer="0" w:header="0"/>
        </w:sectPr>
      </w:pPr>
    </w:p>
    <w:bookmarkStart w:id="76" w:name="page77"/>
    <w:bookmarkEnd w:id="76"/>
    <w:p>
      <w:pPr>
        <w:ind w:left="8820"/>
        <w:spacing w:after="0"/>
        <w:rPr>
          <w:sz w:val="20"/>
          <w:szCs w:val="20"/>
          <w:color w:val="auto"/>
        </w:rPr>
      </w:pPr>
      <w:r>
        <w:rPr>
          <w:rFonts w:ascii="Times New Roman" w:cs="Times New Roman" w:eastAsia="Times New Roman" w:hAnsi="Times New Roman"/>
          <w:sz w:val="11"/>
          <w:szCs w:val="11"/>
          <w:b w:val="1"/>
          <w:bCs w:val="1"/>
          <w:color w:val="auto"/>
        </w:rPr>
        <w:t>EXHIBIT 31.2</w:t>
      </w:r>
    </w:p>
    <w:p>
      <w:pPr>
        <w:spacing w:after="0" w:line="73" w:lineRule="exact"/>
        <w:rPr>
          <w:sz w:val="20"/>
          <w:szCs w:val="20"/>
          <w:color w:val="auto"/>
        </w:rPr>
      </w:pPr>
    </w:p>
    <w:p>
      <w:pPr>
        <w:jc w:val="center"/>
        <w:ind w:right="-39"/>
        <w:spacing w:after="0"/>
        <w:rPr>
          <w:sz w:val="20"/>
          <w:szCs w:val="20"/>
          <w:color w:val="auto"/>
        </w:rPr>
      </w:pPr>
      <w:r>
        <w:rPr>
          <w:rFonts w:ascii="Calibri" w:cs="Calibri" w:eastAsia="Calibri" w:hAnsi="Calibri"/>
          <w:sz w:val="14"/>
          <w:szCs w:val="14"/>
          <w:b w:val="1"/>
          <w:bCs w:val="1"/>
          <w:color w:val="auto"/>
        </w:rPr>
        <w: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PRINCIPAL FINANCIAL OFFICER</w:t>
      </w:r>
    </w:p>
    <w:p>
      <w:pPr>
        <w:jc w:val="center"/>
        <w:spacing w:after="0" w:line="210" w:lineRule="auto"/>
        <w:rPr>
          <w:sz w:val="20"/>
          <w:szCs w:val="20"/>
          <w:color w:val="auto"/>
        </w:rPr>
      </w:pPr>
      <w:r>
        <w:rPr>
          <w:rFonts w:ascii="Times New Roman" w:cs="Times New Roman" w:eastAsia="Times New Roman" w:hAnsi="Times New Roman"/>
          <w:sz w:val="12"/>
          <w:szCs w:val="12"/>
          <w:b w:val="1"/>
          <w:bCs w:val="1"/>
          <w:color w:val="auto"/>
        </w:rPr>
        <w:t>PURSUANT TO EXCHANGE ACT RULE 13a-14(a)/15d-14(a) AS ADOPTED</w:t>
      </w: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302 OF THE SARBANES-OXLEY ACT OF 2002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Gilbert Avanes, certify that:</w:t>
      </w:r>
    </w:p>
    <w:p>
      <w:pPr>
        <w:spacing w:after="0" w:line="114" w:lineRule="exact"/>
        <w:rPr>
          <w:sz w:val="20"/>
          <w:szCs w:val="20"/>
          <w:color w:val="auto"/>
        </w:rPr>
      </w:pPr>
    </w:p>
    <w:p>
      <w:pPr>
        <w:ind w:left="460" w:hanging="228"/>
        <w:spacing w:after="0"/>
        <w:tabs>
          <w:tab w:leader="none" w:pos="46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Reading International, Inc.;</w:t>
      </w:r>
    </w:p>
    <w:p>
      <w:pPr>
        <w:spacing w:after="0" w:line="104" w:lineRule="exact"/>
        <w:rPr>
          <w:rFonts w:ascii="Times New Roman" w:cs="Times New Roman" w:eastAsia="Times New Roman" w:hAnsi="Times New Roman"/>
          <w:sz w:val="12"/>
          <w:szCs w:val="12"/>
          <w:color w:val="auto"/>
        </w:rPr>
      </w:pPr>
    </w:p>
    <w:p>
      <w:pPr>
        <w:ind w:left="460" w:hanging="228"/>
        <w:spacing w:after="0" w:line="249" w:lineRule="auto"/>
        <w:tabs>
          <w:tab w:leader="none" w:pos="46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Times New Roman" w:cs="Times New Roman" w:eastAsia="Times New Roman" w:hAnsi="Times New Roman"/>
          <w:sz w:val="12"/>
          <w:szCs w:val="12"/>
          <w:color w:val="auto"/>
        </w:rPr>
      </w:pPr>
    </w:p>
    <w:p>
      <w:pPr>
        <w:ind w:left="460" w:hanging="228"/>
        <w:spacing w:after="0" w:line="266" w:lineRule="auto"/>
        <w:tabs>
          <w:tab w:leader="none" w:pos="46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Times New Roman" w:cs="Times New Roman" w:eastAsia="Times New Roman" w:hAnsi="Times New Roman"/>
          <w:sz w:val="12"/>
          <w:szCs w:val="12"/>
          <w:color w:val="auto"/>
        </w:rPr>
      </w:pPr>
    </w:p>
    <w:p>
      <w:pPr>
        <w:ind w:left="460" w:hanging="228"/>
        <w:spacing w:after="0"/>
        <w:tabs>
          <w:tab w:leader="none" w:pos="46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w:t>
      </w:r>
    </w:p>
    <w:p>
      <w:pPr>
        <w:ind w:left="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15d-15(e)) and internal control over financial reporting (as defined in Exchange Act Rules 13a-15(f) and 15d-15(f)) for the registrant and have:</w:t>
      </w:r>
    </w:p>
    <w:p>
      <w:pPr>
        <w:spacing w:after="0" w:line="99" w:lineRule="exact"/>
        <w:rPr>
          <w:rFonts w:ascii="Times New Roman" w:cs="Times New Roman" w:eastAsia="Times New Roman" w:hAnsi="Times New Roman"/>
          <w:sz w:val="12"/>
          <w:szCs w:val="12"/>
          <w:color w:val="auto"/>
        </w:rPr>
      </w:pPr>
    </w:p>
    <w:p>
      <w:pPr>
        <w:jc w:val="both"/>
        <w:ind w:left="900" w:hanging="221"/>
        <w:spacing w:after="0" w:line="224" w:lineRule="auto"/>
        <w:tabs>
          <w:tab w:leader="none" w:pos="90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900" w:hanging="221"/>
        <w:spacing w:after="0" w:line="216" w:lineRule="auto"/>
        <w:tabs>
          <w:tab w:leader="none" w:pos="90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900" w:hanging="221"/>
        <w:spacing w:after="0" w:line="218" w:lineRule="auto"/>
        <w:tabs>
          <w:tab w:leader="none" w:pos="90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00" w:hanging="221"/>
        <w:spacing w:after="0" w:line="232" w:lineRule="auto"/>
        <w:tabs>
          <w:tab w:leader="none" w:pos="90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91" w:lineRule="exact"/>
        <w:rPr>
          <w:rFonts w:ascii="Times New Roman" w:cs="Times New Roman" w:eastAsia="Times New Roman" w:hAnsi="Times New Roman"/>
          <w:sz w:val="12"/>
          <w:szCs w:val="12"/>
          <w:color w:val="auto"/>
        </w:rPr>
      </w:pPr>
    </w:p>
    <w:p>
      <w:pPr>
        <w:ind w:left="460" w:hanging="228"/>
        <w:spacing w:after="0" w:line="266" w:lineRule="auto"/>
        <w:tabs>
          <w:tab w:leader="none" w:pos="46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6" w:lineRule="exact"/>
        <w:rPr>
          <w:rFonts w:ascii="Times New Roman" w:cs="Times New Roman" w:eastAsia="Times New Roman" w:hAnsi="Times New Roman"/>
          <w:sz w:val="12"/>
          <w:szCs w:val="12"/>
          <w:color w:val="auto"/>
        </w:rPr>
      </w:pPr>
    </w:p>
    <w:p>
      <w:pPr>
        <w:ind w:left="900" w:hanging="221"/>
        <w:spacing w:after="0" w:line="230" w:lineRule="auto"/>
        <w:tabs>
          <w:tab w:leader="none" w:pos="90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2"/>
          <w:szCs w:val="12"/>
          <w:color w:val="auto"/>
        </w:rPr>
      </w:pPr>
    </w:p>
    <w:p>
      <w:pPr>
        <w:ind w:left="900" w:hanging="221"/>
        <w:spacing w:after="0"/>
        <w:tabs>
          <w:tab w:leader="none" w:pos="90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u w:val="single" w:color="auto"/>
          <w:color w:val="auto"/>
        </w:rPr>
        <w:t>/s/ Gilbert Avanes</w:t>
      </w:r>
    </w:p>
    <w:p>
      <w:pPr>
        <w:ind w:left="460"/>
        <w:spacing w:after="0" w:line="221" w:lineRule="auto"/>
        <w:rPr>
          <w:sz w:val="20"/>
          <w:szCs w:val="20"/>
          <w:color w:val="auto"/>
        </w:rPr>
      </w:pPr>
      <w:r>
        <w:rPr>
          <w:rFonts w:ascii="Times New Roman" w:cs="Times New Roman" w:eastAsia="Times New Roman" w:hAnsi="Times New Roman"/>
          <w:sz w:val="12"/>
          <w:szCs w:val="12"/>
          <w:color w:val="auto"/>
        </w:rPr>
        <w:t>Gilbert Avanes</w:t>
      </w:r>
    </w:p>
    <w:p>
      <w:pPr>
        <w:ind w:left="460"/>
        <w:spacing w:after="0" w:line="211" w:lineRule="auto"/>
        <w:rPr>
          <w:sz w:val="20"/>
          <w:szCs w:val="20"/>
          <w:color w:val="auto"/>
        </w:rPr>
      </w:pPr>
      <w:r>
        <w:rPr>
          <w:rFonts w:ascii="Times New Roman" w:cs="Times New Roman" w:eastAsia="Times New Roman" w:hAnsi="Times New Roman"/>
          <w:sz w:val="12"/>
          <w:szCs w:val="12"/>
          <w:color w:val="auto"/>
        </w:rPr>
        <w:t>Executive Vice President, Chief Financial Officer and Treasurer</w:t>
      </w:r>
    </w:p>
    <w:p>
      <w:pPr>
        <w:ind w:left="460"/>
        <w:spacing w:after="0"/>
        <w:rPr>
          <w:sz w:val="20"/>
          <w:szCs w:val="20"/>
          <w:color w:val="auto"/>
        </w:rPr>
      </w:pPr>
      <w:r>
        <w:rPr>
          <w:rFonts w:ascii="Times New Roman" w:cs="Times New Roman" w:eastAsia="Times New Roman" w:hAnsi="Times New Roman"/>
          <w:sz w:val="12"/>
          <w:szCs w:val="12"/>
          <w:color w:val="auto"/>
        </w:rPr>
        <w:t>November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82550</wp:posOffset>
            </wp:positionV>
            <wp:extent cx="6076315"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76315" cy="43180"/>
                    </a:xfrm>
                    <a:prstGeom prst="rect">
                      <a:avLst/>
                    </a:prstGeom>
                    <a:noFill/>
                  </pic:spPr>
                </pic:pic>
              </a:graphicData>
            </a:graphic>
          </wp:anchor>
        </w:drawing>
      </w:r>
    </w:p>
    <w:p>
      <w:pPr>
        <w:sectPr>
          <w:pgSz w:w="11900" w:h="16838" w:orient="portrait"/>
          <w:cols w:equalWidth="0" w:num="1">
            <w:col w:w="9520"/>
          </w:cols>
          <w:pgMar w:left="1180" w:top="120" w:right="1199" w:bottom="1440" w:gutter="0" w:footer="0" w:header="0"/>
        </w:sectPr>
      </w:pPr>
    </w:p>
    <w:bookmarkStart w:id="77" w:name="page78"/>
    <w:bookmarkEnd w:id="77"/>
    <w:p>
      <w:pPr>
        <w:ind w:left="8900"/>
        <w:spacing w:after="0"/>
        <w:rPr>
          <w:sz w:val="20"/>
          <w:szCs w:val="20"/>
          <w:color w:val="auto"/>
        </w:rPr>
      </w:pPr>
      <w:r>
        <w:rPr>
          <w:rFonts w:ascii="Times New Roman" w:cs="Times New Roman" w:eastAsia="Times New Roman" w:hAnsi="Times New Roman"/>
          <w:sz w:val="11"/>
          <w:szCs w:val="11"/>
          <w:b w:val="1"/>
          <w:bCs w:val="1"/>
          <w:color w:val="auto"/>
        </w:rPr>
        <w:t>EXHIBIT 32</w:t>
      </w:r>
    </w:p>
    <w:p>
      <w:pPr>
        <w:spacing w:after="0" w:line="1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2"/>
          <w:szCs w:val="12"/>
          <w:color w:val="auto"/>
        </w:rPr>
        <w:t>CERTIFICATION PURSUANT TO</w:t>
      </w:r>
    </w:p>
    <w:p>
      <w:pPr>
        <w:ind w:left="4060"/>
        <w:spacing w:after="0" w:line="210" w:lineRule="auto"/>
        <w:rPr>
          <w:sz w:val="20"/>
          <w:szCs w:val="20"/>
          <w:color w:val="auto"/>
        </w:rPr>
      </w:pPr>
      <w:r>
        <w:rPr>
          <w:rFonts w:ascii="Times New Roman" w:cs="Times New Roman" w:eastAsia="Times New Roman" w:hAnsi="Times New Roman"/>
          <w:sz w:val="12"/>
          <w:szCs w:val="12"/>
          <w:color w:val="auto"/>
        </w:rPr>
        <w:t>18 U.S.C. SECTION 1350,</w:t>
      </w:r>
    </w:p>
    <w:p>
      <w:pPr>
        <w:ind w:left="3940"/>
        <w:spacing w:after="0" w:line="227" w:lineRule="auto"/>
        <w:rPr>
          <w:sz w:val="20"/>
          <w:szCs w:val="20"/>
          <w:color w:val="auto"/>
        </w:rPr>
      </w:pPr>
      <w:r>
        <w:rPr>
          <w:rFonts w:ascii="Times New Roman" w:cs="Times New Roman" w:eastAsia="Times New Roman" w:hAnsi="Times New Roman"/>
          <w:sz w:val="12"/>
          <w:szCs w:val="12"/>
          <w:color w:val="auto"/>
        </w:rPr>
        <w:t>AS ADOPTED PURSUANT TO</w:t>
      </w:r>
    </w:p>
    <w:p>
      <w:pPr>
        <w:jc w:val="center"/>
        <w:ind w:right="20"/>
        <w:spacing w:after="0"/>
        <w:rPr>
          <w:sz w:val="20"/>
          <w:szCs w:val="20"/>
          <w:color w:val="auto"/>
        </w:rPr>
      </w:pPr>
      <w:r>
        <w:rPr>
          <w:rFonts w:ascii="Times New Roman" w:cs="Times New Roman" w:eastAsia="Times New Roman" w:hAnsi="Times New Roman"/>
          <w:sz w:val="12"/>
          <w:szCs w:val="12"/>
          <w:color w:val="auto"/>
        </w:rPr>
        <w:t>SECTION 906 OF THE SARBANES-OXLEY ACT OF 2002</w:t>
      </w:r>
    </w:p>
    <w:p>
      <w:pPr>
        <w:spacing w:after="0" w:line="22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2"/>
          <w:szCs w:val="12"/>
          <w:color w:val="auto"/>
        </w:rPr>
        <w:t>Ellen M. Cotter, Chief Executive Officer, and Gilbert Avanes, Chief Financial Officer, of Reading International, Inc. (the “Company”), pursuant to 18 U.S.C. Section 1350, as adopted pursuant to Section 906 of the Sarbanes-Oxley Act of 2002, do each hereby certify, that, to his or her knowledge:</w:t>
      </w:r>
    </w:p>
    <w:p>
      <w:pPr>
        <w:spacing w:after="0" w:line="86" w:lineRule="exact"/>
        <w:rPr>
          <w:sz w:val="20"/>
          <w:szCs w:val="20"/>
          <w:color w:val="auto"/>
        </w:rPr>
      </w:pPr>
    </w:p>
    <w:p>
      <w:pPr>
        <w:ind w:left="440" w:right="340" w:hanging="208"/>
        <w:spacing w:after="0" w:line="249" w:lineRule="auto"/>
        <w:tabs>
          <w:tab w:leader="none" w:pos="44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Quarterly Report on Form 10-Q for the period ended September 30, 2025 (the "Report") of the Company fully complies with the requirements of Section 13(a) or 15(d), as applicable, of the Securities Exchange Act of 1934; and</w:t>
      </w:r>
    </w:p>
    <w:p>
      <w:pPr>
        <w:spacing w:after="0" w:line="86" w:lineRule="exact"/>
        <w:rPr>
          <w:rFonts w:ascii="Times New Roman" w:cs="Times New Roman" w:eastAsia="Times New Roman" w:hAnsi="Times New Roman"/>
          <w:sz w:val="12"/>
          <w:szCs w:val="12"/>
          <w:color w:val="auto"/>
        </w:rPr>
      </w:pPr>
    </w:p>
    <w:p>
      <w:pPr>
        <w:ind w:left="440" w:hanging="208"/>
        <w:spacing w:after="0"/>
        <w:tabs>
          <w:tab w:leader="none" w:pos="44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 of the Company.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November 14, 2025</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Ellen M. Cotter</w:t>
      </w:r>
    </w:p>
    <w:tbl>
      <w:tblPr>
        <w:tblLayout w:type="fixed"/>
        <w:tblInd w:w="0" w:type="dxa"/>
        <w:tblCellMar>
          <w:top w:w="0" w:type="dxa"/>
          <w:left w:w="0" w:type="dxa"/>
          <w:bottom w:w="0" w:type="dxa"/>
          <w:right w:w="0" w:type="dxa"/>
        </w:tblCellMar>
      </w:tblPr>
      <w:tr>
        <w:trPr>
          <w:trHeight w:val="98"/>
        </w:trPr>
        <w:tc>
          <w:tcPr>
            <w:tcW w:w="400" w:type="dxa"/>
            <w:vAlign w:val="bottom"/>
            <w:tcBorders>
              <w:top w:val="single" w:sz="8" w:color="auto"/>
            </w:tcBorders>
          </w:tcPr>
          <w:p>
            <w:pPr>
              <w:spacing w:after="0" w:line="98" w:lineRule="exact"/>
              <w:rPr>
                <w:sz w:val="20"/>
                <w:szCs w:val="20"/>
                <w:color w:val="auto"/>
              </w:rPr>
            </w:pPr>
            <w:r>
              <w:rPr>
                <w:rFonts w:ascii="Times New Roman" w:cs="Times New Roman" w:eastAsia="Times New Roman" w:hAnsi="Times New Roman"/>
                <w:sz w:val="11"/>
                <w:szCs w:val="11"/>
                <w:color w:val="auto"/>
              </w:rPr>
              <w:t>Name:</w:t>
            </w:r>
          </w:p>
        </w:tc>
        <w:tc>
          <w:tcPr>
            <w:tcW w:w="2400" w:type="dxa"/>
            <w:vAlign w:val="bottom"/>
            <w:tcBorders>
              <w:top w:val="single" w:sz="8" w:color="auto"/>
            </w:tcBorders>
            <w:gridSpan w:val="2"/>
          </w:tcPr>
          <w:p>
            <w:pPr>
              <w:ind w:left="100"/>
              <w:spacing w:after="0" w:line="98" w:lineRule="exact"/>
              <w:rPr>
                <w:sz w:val="20"/>
                <w:szCs w:val="20"/>
                <w:color w:val="auto"/>
              </w:rPr>
            </w:pPr>
            <w:r>
              <w:rPr>
                <w:rFonts w:ascii="Times New Roman" w:cs="Times New Roman" w:eastAsia="Times New Roman" w:hAnsi="Times New Roman"/>
                <w:sz w:val="11"/>
                <w:szCs w:val="11"/>
                <w:color w:val="auto"/>
              </w:rPr>
              <w:t>Ellen M. Cotter</w:t>
            </w:r>
          </w:p>
        </w:tc>
        <w:tc>
          <w:tcPr>
            <w:tcW w:w="6740" w:type="dxa"/>
            <w:vAlign w:val="bottom"/>
          </w:tcPr>
          <w:p>
            <w:pPr>
              <w:spacing w:after="0"/>
              <w:rPr>
                <w:sz w:val="8"/>
                <w:szCs w:val="8"/>
                <w:color w:val="auto"/>
              </w:rPr>
            </w:pPr>
          </w:p>
        </w:tc>
      </w:tr>
      <w:tr>
        <w:trPr>
          <w:trHeight w:val="161"/>
        </w:trPr>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914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234"/>
        </w:trPr>
        <w:tc>
          <w:tcPr>
            <w:tcW w:w="95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 Gilbert Avanes</w:t>
            </w:r>
          </w:p>
        </w:tc>
      </w:tr>
      <w:tr>
        <w:trPr>
          <w:trHeight w:val="98"/>
        </w:trPr>
        <w:tc>
          <w:tcPr>
            <w:tcW w:w="400" w:type="dxa"/>
            <w:vAlign w:val="bottom"/>
            <w:tcBorders>
              <w:top w:val="single" w:sz="8" w:color="auto"/>
            </w:tcBorders>
          </w:tcPr>
          <w:p>
            <w:pPr>
              <w:spacing w:after="0" w:line="98" w:lineRule="exact"/>
              <w:rPr>
                <w:sz w:val="20"/>
                <w:szCs w:val="20"/>
                <w:color w:val="auto"/>
              </w:rPr>
            </w:pPr>
            <w:r>
              <w:rPr>
                <w:rFonts w:ascii="Times New Roman" w:cs="Times New Roman" w:eastAsia="Times New Roman" w:hAnsi="Times New Roman"/>
                <w:sz w:val="11"/>
                <w:szCs w:val="11"/>
                <w:color w:val="auto"/>
              </w:rPr>
              <w:t>Name:</w:t>
            </w:r>
          </w:p>
        </w:tc>
        <w:tc>
          <w:tcPr>
            <w:tcW w:w="2360" w:type="dxa"/>
            <w:vAlign w:val="bottom"/>
            <w:tcBorders>
              <w:top w:val="single" w:sz="8" w:color="auto"/>
            </w:tcBorders>
          </w:tcPr>
          <w:p>
            <w:pPr>
              <w:ind w:left="60"/>
              <w:spacing w:after="0" w:line="98" w:lineRule="exact"/>
              <w:rPr>
                <w:sz w:val="20"/>
                <w:szCs w:val="20"/>
                <w:color w:val="auto"/>
              </w:rPr>
            </w:pPr>
            <w:r>
              <w:rPr>
                <w:rFonts w:ascii="Times New Roman" w:cs="Times New Roman" w:eastAsia="Times New Roman" w:hAnsi="Times New Roman"/>
                <w:sz w:val="11"/>
                <w:szCs w:val="11"/>
                <w:color w:val="auto"/>
              </w:rPr>
              <w:t>Gilbert Avanes</w:t>
            </w:r>
          </w:p>
        </w:tc>
        <w:tc>
          <w:tcPr>
            <w:tcW w:w="6780" w:type="dxa"/>
            <w:vAlign w:val="bottom"/>
            <w:gridSpan w:val="2"/>
          </w:tcPr>
          <w:p>
            <w:pPr>
              <w:spacing w:after="0"/>
              <w:rPr>
                <w:sz w:val="8"/>
                <w:szCs w:val="8"/>
                <w:color w:val="auto"/>
              </w:rPr>
            </w:pPr>
          </w:p>
        </w:tc>
      </w:tr>
      <w:tr>
        <w:trPr>
          <w:trHeight w:val="161"/>
        </w:trPr>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91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Executive Vice President, Chief Financial Officer and Treasurer</w:t>
            </w:r>
          </w:p>
        </w:tc>
      </w:tr>
      <w:tr>
        <w:trPr>
          <w:trHeight w:val="158"/>
        </w:trPr>
        <w:tc>
          <w:tcPr>
            <w:tcW w:w="400" w:type="dxa"/>
            <w:vAlign w:val="bottom"/>
            <w:tcBorders>
              <w:bottom w:val="single" w:sz="8" w:color="9A9A9A"/>
            </w:tcBorders>
          </w:tcPr>
          <w:p>
            <w:pPr>
              <w:spacing w:after="0"/>
              <w:rPr>
                <w:sz w:val="13"/>
                <w:szCs w:val="13"/>
                <w:color w:val="auto"/>
              </w:rPr>
            </w:pPr>
          </w:p>
        </w:tc>
        <w:tc>
          <w:tcPr>
            <w:tcW w:w="23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74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6038215</wp:posOffset>
            </wp:positionH>
            <wp:positionV relativeFrom="paragraph">
              <wp:posOffset>-29845</wp:posOffset>
            </wp:positionV>
            <wp:extent cx="31115"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1115" cy="4318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-29845</wp:posOffset>
            </wp:positionV>
            <wp:extent cx="31115"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115" cy="43180"/>
                    </a:xfrm>
                    <a:prstGeom prst="rect">
                      <a:avLst/>
                    </a:prstGeom>
                    <a:noFill/>
                  </pic:spPr>
                </pic:pic>
              </a:graphicData>
            </a:graphic>
          </wp:anchor>
        </w:drawing>
      </w:r>
    </w:p>
    <w:sectPr>
      <w:pgSz w:w="11900" w:h="16838" w:orient="portrait"/>
      <w:cols w:equalWidth="0" w:num="1">
        <w:col w:w="9540"/>
      </w:cols>
      <w:pgMar w:left="1180" w:top="115"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1)"/>
      <w:numFmt w:val="decimal"/>
      <w:start w:val="1"/>
    </w:lvl>
  </w:abstractNum>
  <w:abstractNum w:abstractNumId="5">
    <w:nsid w:val="70A64E2A"/>
    <w:multiLevelType w:val="hybridMultilevel"/>
    <w:lvl w:ilvl="0">
      <w:lvlJc w:val="left"/>
      <w:lvlText w:val="(%1)"/>
      <w:numFmt w:val="decimal"/>
      <w:start w:val="1"/>
    </w:lvl>
  </w:abstractNum>
  <w:abstractNum w:abstractNumId="6">
    <w:nsid w:val="6A2342EC"/>
    <w:multiLevelType w:val="hybridMultilevel"/>
    <w:lvl w:ilvl="0">
      <w:lvlJc w:val="left"/>
      <w:lvlText w:val=" "/>
      <w:numFmt w:val="bullet"/>
      <w:start w:val="1"/>
    </w:lvl>
  </w:abstractNum>
  <w:abstractNum w:abstractNumId="7">
    <w:nsid w:val="2A487CB0"/>
    <w:multiLevelType w:val="hybridMultilevel"/>
    <w:lvl w:ilvl="0">
      <w:lvlJc w:val="left"/>
      <w:lvlText w:val=" "/>
      <w:numFmt w:val="bullet"/>
      <w:start w:val="1"/>
    </w:lvl>
  </w:abstractNum>
  <w:abstractNum w:abstractNumId="8">
    <w:nsid w:val="1D4ED43B"/>
    <w:multiLevelType w:val="hybridMultilevel"/>
    <w:lvl w:ilvl="0">
      <w:lvlJc w:val="left"/>
      <w:lvlText w:val="(%1)"/>
      <w:numFmt w:val="decimal"/>
      <w:start w:val="1"/>
    </w:lvl>
  </w:abstractNum>
  <w:abstractNum w:abstractNumId="9">
    <w:nsid w:val="725A06FB"/>
    <w:multiLevelType w:val="hybridMultilevel"/>
    <w:lvl w:ilvl="0">
      <w:lvlJc w:val="left"/>
      <w:lvlText w:val=" "/>
      <w:numFmt w:val="bullet"/>
      <w:start w:val="1"/>
    </w:lvl>
  </w:abstractNum>
  <w:abstractNum w:abstractNumId="10">
    <w:nsid w:val="2CD89A32"/>
    <w:multiLevelType w:val="hybridMultilevel"/>
    <w:lvl w:ilvl="0">
      <w:lvlJc w:val="left"/>
      <w:lvlText w:val=" "/>
      <w:numFmt w:val="bullet"/>
      <w:start w:val="1"/>
    </w:lvl>
  </w:abstractNum>
  <w:abstractNum w:abstractNumId="11">
    <w:nsid w:val="57E4CCAF"/>
    <w:multiLevelType w:val="hybridMultilevel"/>
    <w:lvl w:ilvl="0">
      <w:lvlJc w:val="left"/>
      <w:lvlText w:val=" "/>
      <w:numFmt w:val="bullet"/>
      <w:start w:val="1"/>
    </w:lvl>
  </w:abstractNum>
  <w:abstractNum w:abstractNumId="12">
    <w:nsid w:val="7A6D8D3C"/>
    <w:multiLevelType w:val="hybridMultilevel"/>
    <w:lvl w:ilvl="0">
      <w:lvlJc w:val="left"/>
      <w:lvlText w:val=" "/>
      <w:numFmt w:val="bullet"/>
      <w:start w:val="1"/>
    </w:lvl>
  </w:abstractNum>
  <w:abstractNum w:abstractNumId="13">
    <w:nsid w:val="4B588F54"/>
    <w:multiLevelType w:val="hybridMultilevel"/>
    <w:lvl w:ilvl="0">
      <w:lvlJc w:val="left"/>
      <w:lvlText w:val=" "/>
      <w:numFmt w:val="bullet"/>
      <w:start w:val="1"/>
    </w:lvl>
  </w:abstractNum>
  <w:abstractNum w:abstractNumId="14">
    <w:nsid w:val="542289EC"/>
    <w:multiLevelType w:val="hybridMultilevel"/>
    <w:lvl w:ilvl="0">
      <w:lvlJc w:val="left"/>
      <w:lvlText w:val="(%1)"/>
      <w:numFmt w:val="decimal"/>
      <w:start w:val="1"/>
    </w:lvl>
  </w:abstractNum>
  <w:abstractNum w:abstractNumId="15">
    <w:nsid w:val="6DE91B18"/>
    <w:multiLevelType w:val="hybridMultilevel"/>
    <w:lvl w:ilvl="0">
      <w:lvlJc w:val="left"/>
      <w:lvlText w:val="(%1)"/>
      <w:numFmt w:val="decimal"/>
      <w:start w:val="1"/>
    </w:lvl>
  </w:abstractNum>
  <w:abstractNum w:abstractNumId="16">
    <w:nsid w:val="38437FDB"/>
    <w:multiLevelType w:val="hybridMultilevel"/>
    <w:lvl w:ilvl="0">
      <w:lvlJc w:val="left"/>
      <w:lvlText w:val=" "/>
      <w:numFmt w:val="bullet"/>
      <w:start w:val="1"/>
    </w:lvl>
  </w:abstractNum>
  <w:abstractNum w:abstractNumId="17">
    <w:nsid w:val="7644A45C"/>
    <w:multiLevelType w:val="hybridMultilevel"/>
    <w:lvl w:ilvl="0">
      <w:lvlJc w:val="left"/>
      <w:lvlText w:val=" "/>
      <w:numFmt w:val="bullet"/>
      <w:start w:val="1"/>
    </w:lvl>
  </w:abstractNum>
  <w:abstractNum w:abstractNumId="18">
    <w:nsid w:val="32FFF902"/>
    <w:multiLevelType w:val="hybridMultilevel"/>
    <w:lvl w:ilvl="0">
      <w:lvlJc w:val="left"/>
      <w:lvlText w:val="(%1)"/>
      <w:numFmt w:val="lowerRoman"/>
      <w:start w:val="1"/>
    </w:lvl>
  </w:abstractNum>
  <w:abstractNum w:abstractNumId="19">
    <w:nsid w:val="684A481A"/>
    <w:multiLevelType w:val="hybridMultilevel"/>
    <w:lvl w:ilvl="0">
      <w:lvlJc w:val="left"/>
      <w:lvlText w:val="(%1)"/>
      <w:numFmt w:val="lowerRoman"/>
      <w:start w:val="1"/>
    </w:lvl>
  </w:abstractNum>
  <w:abstractNum w:abstractNumId="20">
    <w:nsid w:val="579478FE"/>
    <w:multiLevelType w:val="hybridMultilevel"/>
    <w:lvl w:ilvl="0">
      <w:lvlJc w:val="left"/>
      <w:lvlText w:val=" "/>
      <w:numFmt w:val="bullet"/>
      <w:start w:val="1"/>
    </w:lvl>
  </w:abstractNum>
  <w:abstractNum w:abstractNumId="21">
    <w:nsid w:val="749ABB43"/>
    <w:multiLevelType w:val="hybridMultilevel"/>
    <w:lvl w:ilvl="0">
      <w:lvlJc w:val="left"/>
      <w:lvlText w:val=" "/>
      <w:numFmt w:val="bullet"/>
      <w:start w:val="1"/>
    </w:lvl>
  </w:abstractNum>
  <w:abstractNum w:abstractNumId="22">
    <w:nsid w:val="3DC240FB"/>
    <w:multiLevelType w:val="hybridMultilevel"/>
    <w:lvl w:ilvl="0">
      <w:lvlJc w:val="left"/>
      <w:lvlText w:val=" "/>
      <w:numFmt w:val="bullet"/>
      <w:start w:val="1"/>
    </w:lvl>
  </w:abstractNum>
  <w:abstractNum w:abstractNumId="23">
    <w:nsid w:val="1BA026FA"/>
    <w:multiLevelType w:val="hybridMultilevel"/>
    <w:lvl w:ilvl="0">
      <w:lvlJc w:val="left"/>
      <w:lvlText w:val="&amp;"/>
      <w:numFmt w:val="bullet"/>
      <w:start w:val="1"/>
    </w:lvl>
  </w:abstractNum>
  <w:abstractNum w:abstractNumId="24">
    <w:nsid w:val="79A1DEAA"/>
    <w:multiLevelType w:val="hybridMultilevel"/>
    <w:lvl w:ilvl="0">
      <w:lvlJc w:val="left"/>
      <w:lvlText w:val="(%1)"/>
      <w:numFmt w:val="decimal"/>
      <w:start w:val="1"/>
    </w:lvl>
  </w:abstractNum>
  <w:abstractNum w:abstractNumId="25">
    <w:nsid w:val="75C6C33A"/>
    <w:multiLevelType w:val="hybridMultilevel"/>
    <w:lvl w:ilvl="0">
      <w:lvlJc w:val="left"/>
      <w:lvlText w:val="(%1)"/>
      <w:numFmt w:val="decimal"/>
      <w:start w:val="1"/>
    </w:lvl>
  </w:abstractNum>
  <w:abstractNum w:abstractNumId="26">
    <w:nsid w:val="12E685FB"/>
    <w:multiLevelType w:val="hybridMultilevel"/>
    <w:lvl w:ilvl="0">
      <w:lvlJc w:val="left"/>
      <w:lvlText w:val="(%1)"/>
      <w:numFmt w:val="lowerRoman"/>
      <w:start w:val="1"/>
    </w:lvl>
  </w:abstractNum>
  <w:abstractNum w:abstractNumId="27">
    <w:nsid w:val="70C6A529"/>
    <w:multiLevelType w:val="hybridMultilevel"/>
    <w:lvl w:ilvl="0">
      <w:lvlJc w:val="left"/>
      <w:lvlText w:val="(%1)"/>
      <w:numFmt w:val="lowerRoman"/>
      <w:start w:val="2"/>
    </w:lvl>
  </w:abstractNum>
  <w:abstractNum w:abstractNumId="28">
    <w:nsid w:val="520EEDD1"/>
    <w:multiLevelType w:val="hybridMultilevel"/>
    <w:lvl w:ilvl="0">
      <w:lvlJc w:val="left"/>
      <w:lvlText w:val=" "/>
      <w:numFmt w:val="bullet"/>
      <w:start w:val="1"/>
    </w:lvl>
  </w:abstractNum>
  <w:abstractNum w:abstractNumId="29">
    <w:nsid w:val="374A3FE6"/>
    <w:multiLevelType w:val="hybridMultilevel"/>
    <w:lvl w:ilvl="0">
      <w:lvlJc w:val="left"/>
      <w:lvlText w:val=" "/>
      <w:numFmt w:val="bullet"/>
      <w:start w:val="1"/>
    </w:lvl>
  </w:abstractNum>
  <w:abstractNum w:abstractNumId="30">
    <w:nsid w:val="4F4EF005"/>
    <w:multiLevelType w:val="hybridMultilevel"/>
    <w:lvl w:ilvl="0">
      <w:lvlJc w:val="left"/>
      <w:lvlText w:val=" "/>
      <w:numFmt w:val="bullet"/>
      <w:start w:val="1"/>
    </w:lvl>
  </w:abstractNum>
  <w:abstractNum w:abstractNumId="31">
    <w:nsid w:val="23F9C13C"/>
    <w:multiLevelType w:val="hybridMultilevel"/>
    <w:lvl w:ilvl="0">
      <w:lvlJc w:val="left"/>
      <w:lvlText w:val=" "/>
      <w:numFmt w:val="bullet"/>
      <w:start w:val="1"/>
    </w:lvl>
  </w:abstractNum>
  <w:abstractNum w:abstractNumId="32">
    <w:nsid w:val="649BB77C"/>
    <w:multiLevelType w:val="hybridMultilevel"/>
    <w:lvl w:ilvl="0">
      <w:lvlJc w:val="left"/>
      <w:lvlText w:val="%1"/>
      <w:numFmt w:val="decimal"/>
      <w:start w:val="10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1."/>
      <w:numFmt w:val="upperLetter"/>
      <w:start w:val="2"/>
    </w:lvl>
  </w:abstractNum>
  <w:abstractNum w:abstractNumId="35">
    <w:nsid w:val="1CF10FD8"/>
    <w:multiLevelType w:val="hybridMultilevel"/>
    <w:lvl w:ilvl="0">
      <w:lvlJc w:val="left"/>
      <w:lvlText w:val="%1."/>
      <w:numFmt w:val="decimal"/>
      <w:start w:val="1"/>
    </w:lvl>
    <w:lvl w:ilvl="1">
      <w:lvlJc w:val="left"/>
      <w:lvlText w:val="%2."/>
      <w:numFmt w:val="decimal"/>
      <w:start w:val="2"/>
    </w:lvl>
  </w:abstractNum>
  <w:abstractNum w:abstractNumId="36">
    <w:nsid w:val="180115BE"/>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2"/>
    </w:lvl>
  </w:abstractNum>
  <w:abstractNum w:abstractNumId="37">
    <w:nsid w:val="235BA861"/>
    <w:multiLevelType w:val="hybridMultilevel"/>
    <w:lvl w:ilvl="0">
      <w:lvlJc w:val="left"/>
      <w:lvlText w:val="%1"/>
      <w:numFmt w:val="lowerRoman"/>
      <w:start w:val="1"/>
    </w:lvl>
    <w:lvl w:ilvl="1">
      <w:lvlJc w:val="left"/>
      <w:lvlText w:val="(%2)"/>
      <w:numFmt w:val="lowerRoman"/>
      <w:start w:val="3"/>
    </w:lvl>
  </w:abstractNum>
  <w:abstractNum w:abstractNumId="38">
    <w:nsid w:val="47398C89"/>
    <w:multiLevelType w:val="hybridMultilevel"/>
    <w:lvl w:ilvl="0">
      <w:lvlJc w:val="left"/>
      <w:lvlText w:val="(%1)"/>
      <w:numFmt w:val="lowerRoman"/>
      <w:start w:val="4"/>
    </w:lvl>
    <w:lvl w:ilvl="1">
      <w:lvlJc w:val="left"/>
      <w:lvlText w:val="(%2)"/>
      <w:numFmt w:val="lowerRoman"/>
      <w:start w:val="5"/>
    </w:lvl>
  </w:abstractNum>
  <w:abstractNum w:abstractNumId="39">
    <w:nsid w:val="354FE9F9"/>
    <w:multiLevelType w:val="hybridMultilevel"/>
    <w:lvl w:ilvl="0">
      <w:lvlJc w:val="left"/>
      <w:lvlText w:val="%1"/>
      <w:numFmt w:val="upperLetter"/>
      <w:start w:val="1"/>
    </w:lvl>
    <w:lvl w:ilvl="1">
      <w:lvlJc w:val="left"/>
      <w:lvlText w:val="(%2)"/>
      <w:numFmt w:val="lowerRoman"/>
      <w:start w:val="6"/>
    </w:lvl>
    <w:lvl w:ilvl="2">
      <w:lvlJc w:val="left"/>
      <w:lvlText w:val="(%3)"/>
      <w:numFmt w:val="lowerRoman"/>
      <w:start w:val="7"/>
    </w:lvl>
    <w:lvl w:ilvl="3">
      <w:lvlJc w:val="left"/>
      <w:lvlText w:val="[***]"/>
      <w:numFmt w:val="bullet"/>
      <w:start w:val="1"/>
    </w:lvl>
  </w:abstractNum>
  <w:abstractNum w:abstractNumId="40">
    <w:nsid w:val="15B5AF5C"/>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1"/>
    </w:lvl>
    <w:lvl w:ilvl="3">
      <w:lvlJc w:val="left"/>
      <w:lvlText w:val="[***]"/>
      <w:numFmt w:val="bullet"/>
      <w:start w:val="1"/>
    </w:lvl>
  </w:abstractNum>
  <w:abstractNum w:abstractNumId="41">
    <w:nsid w:val="741226BB"/>
    <w:multiLevelType w:val="hybridMultilevel"/>
    <w:lvl w:ilvl="0">
      <w:lvlJc w:val="left"/>
      <w:lvlText w:val="%1."/>
      <w:numFmt w:val="decimal"/>
      <w:start w:val="3"/>
    </w:lvl>
  </w:abstractNum>
  <w:abstractNum w:abstractNumId="42">
    <w:nsid w:val="D34B6A8"/>
    <w:multiLevelType w:val="hybridMultilevel"/>
    <w:lvl w:ilvl="0">
      <w:lvlJc w:val="left"/>
      <w:lvlText w:val="%1."/>
      <w:numFmt w:val="decimal"/>
      <w:start w:val="4"/>
    </w:lvl>
  </w:abstractNum>
  <w:abstractNum w:abstractNumId="43">
    <w:nsid w:val="10233C99"/>
    <w:multiLevelType w:val="hybridMultilevel"/>
    <w:lvl w:ilvl="0">
      <w:lvlJc w:val="left"/>
      <w:lvlText w:val="%1."/>
      <w:numFmt w:val="decimal"/>
      <w:start w:val="5"/>
    </w:lvl>
  </w:abstractNum>
  <w:abstractNum w:abstractNumId="44">
    <w:nsid w:val="3F6AB60F"/>
    <w:multiLevelType w:val="hybridMultilevel"/>
    <w:lvl w:ilvl="0">
      <w:lvlJc w:val="left"/>
      <w:lvlText w:val="%1."/>
      <w:numFmt w:val="decimal"/>
      <w:start w:val="7"/>
    </w:lvl>
  </w:abstractNum>
  <w:abstractNum w:abstractNumId="45">
    <w:nsid w:val="61574095"/>
    <w:multiLevelType w:val="hybridMultilevel"/>
    <w:lvl w:ilvl="0">
      <w:lvlJc w:val="left"/>
      <w:lvlText w:val="%1."/>
      <w:numFmt w:val="decimal"/>
      <w:start w:val="8"/>
    </w:lvl>
  </w:abstractNum>
  <w:abstractNum w:abstractNumId="46">
    <w:nsid w:val="7E0C57B1"/>
    <w:multiLevelType w:val="hybridMultilevel"/>
    <w:lvl w:ilvl="0">
      <w:lvlJc w:val="left"/>
      <w:lvlText w:val="%1."/>
      <w:numFmt w:val="decimal"/>
      <w:start w:val="10"/>
    </w:lvl>
  </w:abstractNum>
  <w:abstractNum w:abstractNumId="47">
    <w:nsid w:val="77AE35EB"/>
    <w:multiLevelType w:val="hybridMultilevel"/>
    <w:lvl w:ilvl="0">
      <w:lvlJc w:val="left"/>
      <w:lvlText w:val="%1."/>
      <w:numFmt w:val="upperLetter"/>
      <w:start w:val="9"/>
    </w:lvl>
  </w:abstractNum>
  <w:abstractNum w:abstractNumId="48">
    <w:nsid w:val="579BE4F1"/>
    <w:multiLevelType w:val="hybridMultilevel"/>
    <w:lvl w:ilvl="0">
      <w:lvlJc w:val="left"/>
      <w:lvlText w:val="%1."/>
      <w:numFmt w:val="upperLetter"/>
      <w:start w:val="35"/>
    </w:lvl>
  </w:abstractNum>
  <w:abstractNum w:abstractNumId="49">
    <w:nsid w:val="310C50B3"/>
    <w:multiLevelType w:val="hybridMultilevel"/>
    <w:lvl w:ilvl="0">
      <w:lvlJc w:val="left"/>
      <w:lvlText w:val="%1."/>
      <w:numFmt w:val="upperLetter"/>
      <w:start w:val="1"/>
    </w:lvl>
    <w:lvl w:ilvl="1">
      <w:lvlJc w:val="left"/>
      <w:lvlText w:val="(%2)"/>
      <w:numFmt w:val="lowerLetter"/>
      <w:start w:val="1"/>
    </w:lvl>
  </w:abstractNum>
  <w:abstractNum w:abstractNumId="50">
    <w:nsid w:val="5FF87E05"/>
    <w:multiLevelType w:val="hybridMultilevel"/>
    <w:lvl w:ilvl="0">
      <w:lvlJc w:val="left"/>
      <w:lvlText w:val="%1"/>
      <w:numFmt w:val="upperLetter"/>
      <w:start w:val="1"/>
    </w:lvl>
    <w:lvl w:ilvl="1">
      <w:lvlJc w:val="left"/>
      <w:lvlText w:val="(%2)"/>
      <w:numFmt w:val="lowerLetter"/>
      <w:start w:val="1"/>
    </w:lvl>
  </w:abstractNum>
  <w:abstractNum w:abstractNumId="51">
    <w:nsid w:val="2F305DEF"/>
    <w:multiLevelType w:val="hybridMultilevel"/>
    <w:lvl w:ilvl="0">
      <w:lvlJc w:val="left"/>
      <w:lvlText w:val="(%1)"/>
      <w:numFmt w:val="lowerLetter"/>
      <w:start w:val="1"/>
    </w:lvl>
  </w:abstractNum>
  <w:abstractNum w:abstractNumId="52">
    <w:nsid w:val="25A70BF7"/>
    <w:multiLevelType w:val="hybridMultilevel"/>
    <w:lvl w:ilvl="0">
      <w:lvlJc w:val="left"/>
      <w:lvlText w:val="(%1)"/>
      <w:numFmt w:val="lowerLetter"/>
      <w:start w:val="2"/>
    </w:lvl>
  </w:abstractNum>
  <w:abstractNum w:abstractNumId="53">
    <w:nsid w:val="1DBABF00"/>
    <w:multiLevelType w:val="hybridMultilevel"/>
    <w:lvl w:ilvl="0">
      <w:lvlJc w:val="left"/>
      <w:lvlText w:val="(%1)"/>
      <w:numFmt w:val="lowerLetter"/>
      <w:start w:val="4"/>
    </w:lvl>
  </w:abstractNum>
  <w:abstractNum w:abstractNumId="54">
    <w:nsid w:val="4AD084E9"/>
    <w:multiLevelType w:val="hybridMultilevel"/>
    <w:lvl w:ilvl="0">
      <w:lvlJc w:val="left"/>
      <w:lvlText w:val="%1."/>
      <w:numFmt w:val="lowerRoman"/>
      <w:start w:val="1"/>
    </w:lvl>
  </w:abstractNum>
  <w:abstractNum w:abstractNumId="55">
    <w:nsid w:val="1F48EAA1"/>
    <w:multiLevelType w:val="hybridMultilevel"/>
    <w:lvl w:ilvl="0">
      <w:lvlJc w:val="left"/>
      <w:lvlText w:val="%1."/>
      <w:numFmt w:val="upperLetter"/>
      <w:start w:val="1"/>
    </w:lvl>
  </w:abstractNum>
  <w:abstractNum w:abstractNumId="56">
    <w:nsid w:val="1381823A"/>
    <w:multiLevelType w:val="hybridMultilevel"/>
    <w:lvl w:ilvl="0">
      <w:lvlJc w:val="left"/>
      <w:lvlText w:val="%1."/>
      <w:numFmt w:val="upperLetter"/>
      <w:start w:val="2"/>
    </w:lvl>
  </w:abstractNum>
  <w:abstractNum w:abstractNumId="57">
    <w:nsid w:val="5DB70AE5"/>
    <w:multiLevelType w:val="hybridMultilevel"/>
    <w:lvl w:ilvl="0">
      <w:lvlJc w:val="left"/>
      <w:lvlText w:val="(%1)"/>
      <w:numFmt w:val="decimal"/>
      <w:start w:val="1"/>
    </w:lvl>
  </w:abstractNum>
  <w:abstractNum w:abstractNumId="58">
    <w:nsid w:val="100F8FCA"/>
    <w:multiLevelType w:val="hybridMultilevel"/>
    <w:lvl w:ilvl="0">
      <w:lvlJc w:val="left"/>
      <w:lvlText w:val="(%1)"/>
      <w:numFmt w:val="decimal"/>
      <w:start w:val="2"/>
    </w:lvl>
  </w:abstractNum>
  <w:abstractNum w:abstractNumId="59">
    <w:nsid w:val="6590700B"/>
    <w:multiLevelType w:val="hybridMultilevel"/>
    <w:lvl w:ilvl="0">
      <w:lvlJc w:val="left"/>
      <w:lvlText w:val="(%1)"/>
      <w:numFmt w:val="decimal"/>
      <w:start w:val="3"/>
    </w:lvl>
  </w:abstractNum>
  <w:abstractNum w:abstractNumId="60">
    <w:nsid w:val="15014ACB"/>
    <w:multiLevelType w:val="hybridMultilevel"/>
    <w:lvl w:ilvl="0">
      <w:lvlJc w:val="left"/>
      <w:lvlText w:val="(%1)"/>
      <w:numFmt w:val="decimal"/>
      <w:start w:val="4"/>
    </w:lvl>
  </w:abstractNum>
  <w:abstractNum w:abstractNumId="61">
    <w:nsid w:val="5F5E7FD0"/>
    <w:multiLevelType w:val="hybridMultilevel"/>
    <w:lvl w:ilvl="0">
      <w:lvlJc w:val="left"/>
      <w:lvlText w:val="%1."/>
      <w:numFmt w:val="lowerRoman"/>
      <w:start w:val="3"/>
    </w:lvl>
  </w:abstractNum>
  <w:abstractNum w:abstractNumId="62">
    <w:nsid w:val="98A3148"/>
    <w:multiLevelType w:val="hybridMultilevel"/>
    <w:lvl w:ilvl="0">
      <w:lvlJc w:val="left"/>
      <w:lvlText w:val="%1."/>
      <w:numFmt w:val="upperLetter"/>
      <w:start w:val="1"/>
    </w:lvl>
  </w:abstractNum>
  <w:abstractNum w:abstractNumId="63">
    <w:nsid w:val="799D0247"/>
    <w:multiLevelType w:val="hybridMultilevel"/>
    <w:lvl w:ilvl="0">
      <w:lvlJc w:val="left"/>
      <w:lvlText w:val="%1."/>
      <w:numFmt w:val="upperLetter"/>
      <w:start w:val="2"/>
    </w:lvl>
  </w:abstractNum>
  <w:abstractNum w:abstractNumId="64">
    <w:nsid w:val="6B94764"/>
    <w:multiLevelType w:val="hybridMultilevel"/>
    <w:lvl w:ilvl="0">
      <w:lvlJc w:val="left"/>
      <w:lvlText w:val="%1"/>
      <w:numFmt w:val="upperLetter"/>
      <w:start w:val="1"/>
    </w:lvl>
    <w:lvl w:ilvl="1">
      <w:lvlJc w:val="left"/>
      <w:lvlText w:val="%2."/>
      <w:numFmt w:val="lowerRoman"/>
      <w:start w:val="4"/>
    </w:lvl>
  </w:abstractNum>
  <w:abstractNum w:abstractNumId="65">
    <w:nsid w:val="42C296BD"/>
    <w:multiLevelType w:val="hybridMultilevel"/>
    <w:lvl w:ilvl="0">
      <w:lvlJc w:val="left"/>
      <w:lvlText w:val="(%1)"/>
      <w:numFmt w:val="upperLetter"/>
      <w:start w:val="2"/>
    </w:lvl>
    <w:lvl w:ilvl="1">
      <w:lvlJc w:val="left"/>
      <w:lvlText w:val="%2"/>
      <w:numFmt w:val="lowerRoman"/>
      <w:start w:val="1"/>
    </w:lvl>
  </w:abstractNum>
  <w:abstractNum w:abstractNumId="66">
    <w:nsid w:val="168E121F"/>
    <w:multiLevelType w:val="hybridMultilevel"/>
    <w:lvl w:ilvl="0">
      <w:lvlJc w:val="left"/>
      <w:lvlText w:val="%1."/>
      <w:numFmt w:val="lowerRoman"/>
      <w:start w:val="9"/>
    </w:lvl>
  </w:abstractNum>
  <w:abstractNum w:abstractNumId="67">
    <w:nsid w:val="1EBA5D23"/>
    <w:multiLevelType w:val="hybridMultilevel"/>
    <w:lvl w:ilvl="0">
      <w:lvlJc w:val="left"/>
      <w:lvlText w:val="%1"/>
      <w:numFmt w:val="upperLetter"/>
      <w:start w:val="1"/>
    </w:lvl>
    <w:lvl w:ilvl="1">
      <w:lvlJc w:val="left"/>
      <w:lvlText w:val="%2."/>
      <w:numFmt w:val="lowerRoman"/>
      <w:start w:val="10"/>
    </w:lvl>
  </w:abstractNum>
  <w:abstractNum w:abstractNumId="68">
    <w:nsid w:val="661E3F1E"/>
    <w:multiLevelType w:val="hybridMultilevel"/>
    <w:lvl w:ilvl="0">
      <w:lvlJc w:val="left"/>
      <w:lvlText w:val="(%1)"/>
      <w:numFmt w:val="lowerLetter"/>
      <w:start w:val="1"/>
    </w:lvl>
  </w:abstractNum>
  <w:abstractNum w:abstractNumId="69">
    <w:nsid w:val="5DC79EA8"/>
    <w:multiLevelType w:val="hybridMultilevel"/>
    <w:lvl w:ilvl="0">
      <w:lvlJc w:val="left"/>
      <w:lvlText w:val="%1"/>
      <w:numFmt w:val="upperLetter"/>
      <w:start w:val="1"/>
    </w:lvl>
    <w:lvl w:ilvl="1">
      <w:lvlJc w:val="left"/>
      <w:lvlText w:val="(%2)"/>
      <w:numFmt w:val="lowerLetter"/>
      <w:start w:val="3"/>
    </w:lvl>
  </w:abstractNum>
  <w:abstractNum w:abstractNumId="70">
    <w:nsid w:val="540A471C"/>
    <w:multiLevelType w:val="hybridMultilevel"/>
    <w:lvl w:ilvl="0">
      <w:lvlJc w:val="left"/>
      <w:lvlText w:val="%1."/>
      <w:numFmt w:val="upperLetter"/>
      <w:start w:val="6"/>
    </w:lvl>
    <w:lvl w:ilvl="1">
      <w:lvlJc w:val="left"/>
      <w:lvlText w:val="(%2)"/>
      <w:numFmt w:val="lowerLetter"/>
      <w:start w:val="1"/>
    </w:lvl>
  </w:abstractNum>
  <w:abstractNum w:abstractNumId="71">
    <w:nsid w:val="7BD3EE7B"/>
    <w:multiLevelType w:val="hybridMultilevel"/>
    <w:lvl w:ilvl="0">
      <w:lvlJc w:val="left"/>
      <w:lvlText w:val="(%1)"/>
      <w:numFmt w:val="lowerLetter"/>
      <w:start w:val="1"/>
    </w:lvl>
  </w:abstractNum>
  <w:abstractNum w:abstractNumId="72">
    <w:nsid w:val="51D9C564"/>
    <w:multiLevelType w:val="hybridMultilevel"/>
    <w:lvl w:ilvl="0">
      <w:lvlJc w:val="left"/>
      <w:lvlText w:val="(%1)"/>
      <w:numFmt w:val="decimal"/>
      <w:start w:val="2"/>
    </w:lvl>
  </w:abstractNum>
  <w:abstractNum w:abstractNumId="73">
    <w:nsid w:val="613EFDC5"/>
    <w:multiLevelType w:val="hybridMultilevel"/>
    <w:lvl w:ilvl="0">
      <w:lvlJc w:val="left"/>
      <w:lvlText w:val="%1."/>
      <w:numFmt w:val="upperLetter"/>
      <w:start w:val="8"/>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lowerLetter"/>
      <w:start w:val="1"/>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2025-11-14T14:35:33Z</dcterms:created>
  <dcterms:modified xsi:type="dcterms:W3CDTF">2025-11-14T14:35:33Z</dcterms:modified>
</cp:coreProperties>
</file>